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18" w:rsidRPr="00F44B2E" w:rsidRDefault="00C03818" w:rsidP="00C03818">
      <w:pPr>
        <w:pStyle w:val="Ttulo4"/>
        <w:tabs>
          <w:tab w:val="left" w:pos="8820"/>
        </w:tabs>
        <w:spacing w:line="360" w:lineRule="auto"/>
        <w:ind w:left="0"/>
        <w:rPr>
          <w:b w:val="0"/>
          <w:sz w:val="16"/>
          <w:szCs w:val="16"/>
          <w:u w:val="single"/>
        </w:rPr>
      </w:pPr>
      <w:r w:rsidRPr="00F44B2E">
        <w:rPr>
          <w:b w:val="0"/>
          <w:sz w:val="16"/>
          <w:szCs w:val="16"/>
          <w:u w:val="single"/>
        </w:rPr>
        <w:t>NOTA DE PRENSA</w:t>
      </w:r>
    </w:p>
    <w:p w:rsidR="00C03818" w:rsidRPr="00F44B2E" w:rsidRDefault="00C03818" w:rsidP="00C03818">
      <w:pPr>
        <w:pStyle w:val="Ttulo1"/>
        <w:ind w:right="96"/>
        <w:rPr>
          <w:b w:val="0"/>
          <w:sz w:val="16"/>
          <w:szCs w:val="16"/>
        </w:rPr>
      </w:pPr>
      <w:r w:rsidRPr="00F44B2E">
        <w:rPr>
          <w:b w:val="0"/>
          <w:sz w:val="16"/>
          <w:szCs w:val="16"/>
        </w:rPr>
        <w:t xml:space="preserve">“AVANCE DEL MERCADO LABORAL </w:t>
      </w:r>
      <w:proofErr w:type="spellStart"/>
      <w:r w:rsidRPr="00F44B2E">
        <w:rPr>
          <w:b w:val="0"/>
          <w:sz w:val="16"/>
          <w:szCs w:val="16"/>
        </w:rPr>
        <w:t>Afi</w:t>
      </w:r>
      <w:proofErr w:type="spellEnd"/>
      <w:r w:rsidRPr="00F44B2E">
        <w:rPr>
          <w:b w:val="0"/>
          <w:sz w:val="16"/>
          <w:szCs w:val="16"/>
        </w:rPr>
        <w:t>-AGETT”</w:t>
      </w:r>
    </w:p>
    <w:p w:rsidR="00C03818" w:rsidRPr="00F44B2E" w:rsidRDefault="00C03818" w:rsidP="00C03818">
      <w:pPr>
        <w:pStyle w:val="Ttulo1"/>
        <w:ind w:right="96"/>
        <w:rPr>
          <w:b w:val="0"/>
          <w:sz w:val="16"/>
          <w:szCs w:val="16"/>
        </w:rPr>
      </w:pPr>
      <w:r w:rsidRPr="00F44B2E">
        <w:rPr>
          <w:b w:val="0"/>
          <w:sz w:val="16"/>
          <w:szCs w:val="16"/>
        </w:rPr>
        <w:t>AGOSTO 2011</w:t>
      </w:r>
    </w:p>
    <w:p w:rsidR="00C03818" w:rsidRDefault="00C03818" w:rsidP="00C03818">
      <w:pPr>
        <w:rPr>
          <w:color w:val="FF0000"/>
          <w:sz w:val="12"/>
        </w:rPr>
      </w:pPr>
    </w:p>
    <w:p w:rsidR="00C03818" w:rsidRPr="00BC2466" w:rsidRDefault="00F44B2E" w:rsidP="00C03818">
      <w:pPr>
        <w:pStyle w:val="Ttulo9"/>
        <w:ind w:right="-441" w:hanging="360"/>
        <w:jc w:val="center"/>
        <w:rPr>
          <w:noProof/>
          <w:color w:val="0000FF"/>
          <w:sz w:val="20"/>
          <w:szCs w:val="20"/>
        </w:rPr>
      </w:pPr>
      <w:r>
        <w:rPr>
          <w:noProof/>
        </w:rPr>
        <mc:AlternateContent>
          <mc:Choice Requires="wps">
            <w:drawing>
              <wp:anchor distT="0" distB="0" distL="114300" distR="114300" simplePos="0" relativeHeight="251659264" behindDoc="0" locked="0" layoutInCell="1" allowOverlap="1" wp14:anchorId="2B6660A7" wp14:editId="1196AAA2">
                <wp:simplePos x="0" y="0"/>
                <wp:positionH relativeFrom="column">
                  <wp:posOffset>-8890</wp:posOffset>
                </wp:positionH>
                <wp:positionV relativeFrom="paragraph">
                  <wp:posOffset>347345</wp:posOffset>
                </wp:positionV>
                <wp:extent cx="5562600" cy="3962400"/>
                <wp:effectExtent l="0" t="0" r="19050" b="1905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962400"/>
                        </a:xfrm>
                        <a:prstGeom prst="rect">
                          <a:avLst/>
                        </a:prstGeom>
                        <a:solidFill>
                          <a:srgbClr val="F8F8F8"/>
                        </a:solidFill>
                        <a:ln w="9525" cap="rnd">
                          <a:solidFill>
                            <a:srgbClr val="C0C0C0"/>
                          </a:solidFill>
                          <a:prstDash val="sysDot"/>
                          <a:miter lim="800000"/>
                          <a:headEnd/>
                          <a:tailEnd/>
                        </a:ln>
                      </wps:spPr>
                      <wps:txbx>
                        <w:txbxContent>
                          <w:p w:rsidR="00C6185E" w:rsidRPr="003A70E7" w:rsidRDefault="00C6185E" w:rsidP="00C03818">
                            <w:pPr>
                              <w:pStyle w:val="Sangradetextonormal"/>
                              <w:ind w:left="0"/>
                              <w:jc w:val="both"/>
                              <w:rPr>
                                <w:b w:val="0"/>
                                <w:bCs w:val="0"/>
                                <w:sz w:val="2"/>
                                <w:szCs w:val="2"/>
                              </w:rPr>
                            </w:pPr>
                          </w:p>
                          <w:p w:rsidR="00C6185E" w:rsidRPr="001B6DD8" w:rsidRDefault="00BC2466" w:rsidP="00BC2466">
                            <w:pPr>
                              <w:pStyle w:val="Sangradetextonormal"/>
                              <w:numPr>
                                <w:ilvl w:val="0"/>
                                <w:numId w:val="1"/>
                              </w:numPr>
                              <w:jc w:val="both"/>
                              <w:rPr>
                                <w:b w:val="0"/>
                                <w:bCs w:val="0"/>
                                <w:sz w:val="19"/>
                                <w:szCs w:val="19"/>
                              </w:rPr>
                            </w:pPr>
                            <w:r w:rsidRPr="001B6DD8">
                              <w:rPr>
                                <w:b w:val="0"/>
                                <w:bCs w:val="0"/>
                                <w:sz w:val="19"/>
                                <w:szCs w:val="19"/>
                              </w:rPr>
                              <w:t xml:space="preserve">El indicador AML </w:t>
                            </w:r>
                            <w:proofErr w:type="spellStart"/>
                            <w:r w:rsidRPr="001B6DD8">
                              <w:rPr>
                                <w:b w:val="0"/>
                                <w:bCs w:val="0"/>
                                <w:sz w:val="19"/>
                                <w:szCs w:val="19"/>
                              </w:rPr>
                              <w:t>Afi</w:t>
                            </w:r>
                            <w:proofErr w:type="spellEnd"/>
                            <w:r w:rsidRPr="001B6DD8">
                              <w:rPr>
                                <w:b w:val="0"/>
                                <w:bCs w:val="0"/>
                                <w:sz w:val="19"/>
                                <w:szCs w:val="19"/>
                              </w:rPr>
                              <w:t>-AGETT prevé una caída de la ocupación del -1,2% en septiembre con un total de 18,30 millones de ocupados</w:t>
                            </w:r>
                            <w:r w:rsidR="00C6185E" w:rsidRPr="001B6DD8">
                              <w:rPr>
                                <w:b w:val="0"/>
                                <w:bCs w:val="0"/>
                                <w:sz w:val="19"/>
                                <w:szCs w:val="19"/>
                              </w:rPr>
                              <w:t xml:space="preserve"> </w:t>
                            </w:r>
                          </w:p>
                          <w:p w:rsidR="00C6185E" w:rsidRPr="00F44B2E" w:rsidRDefault="00C6185E" w:rsidP="00C03818">
                            <w:pPr>
                              <w:pStyle w:val="Prrafodelista"/>
                              <w:rPr>
                                <w:b/>
                                <w:bCs/>
                                <w:sz w:val="11"/>
                                <w:szCs w:val="11"/>
                              </w:rPr>
                            </w:pPr>
                          </w:p>
                          <w:p w:rsidR="00C6185E" w:rsidRDefault="00BC2466" w:rsidP="00C03818">
                            <w:pPr>
                              <w:pStyle w:val="Sangradetextonormal"/>
                              <w:numPr>
                                <w:ilvl w:val="0"/>
                                <w:numId w:val="1"/>
                              </w:numPr>
                              <w:jc w:val="both"/>
                              <w:rPr>
                                <w:b w:val="0"/>
                                <w:bCs w:val="0"/>
                                <w:sz w:val="19"/>
                                <w:szCs w:val="19"/>
                              </w:rPr>
                            </w:pPr>
                            <w:r w:rsidRPr="001B6DD8">
                              <w:rPr>
                                <w:b w:val="0"/>
                                <w:bCs w:val="0"/>
                                <w:sz w:val="19"/>
                                <w:szCs w:val="19"/>
                              </w:rPr>
                              <w:t>Los asalariados del sector público y los miembros de cooperativas son los únicos que aumentan su número de ocupados de manera interanual</w:t>
                            </w:r>
                          </w:p>
                          <w:p w:rsidR="003A70E7" w:rsidRPr="00F44B2E" w:rsidRDefault="003A70E7" w:rsidP="003A70E7">
                            <w:pPr>
                              <w:pStyle w:val="Prrafodelista"/>
                              <w:rPr>
                                <w:b/>
                                <w:bCs/>
                                <w:sz w:val="11"/>
                                <w:szCs w:val="11"/>
                              </w:rPr>
                            </w:pPr>
                          </w:p>
                          <w:p w:rsidR="003A70E7" w:rsidRPr="001B6DD8" w:rsidRDefault="003A70E7" w:rsidP="00C03818">
                            <w:pPr>
                              <w:pStyle w:val="Sangradetextonormal"/>
                              <w:numPr>
                                <w:ilvl w:val="0"/>
                                <w:numId w:val="1"/>
                              </w:numPr>
                              <w:jc w:val="both"/>
                              <w:rPr>
                                <w:b w:val="0"/>
                                <w:bCs w:val="0"/>
                                <w:sz w:val="19"/>
                                <w:szCs w:val="19"/>
                              </w:rPr>
                            </w:pPr>
                            <w:r>
                              <w:rPr>
                                <w:b w:val="0"/>
                                <w:bCs w:val="0"/>
                                <w:sz w:val="19"/>
                                <w:szCs w:val="19"/>
                              </w:rPr>
                              <w:t>Los asalariados del sector privado son los más afectados por el ajuste en la ocupación con 203 mil efectivos menos que en el IITR10</w:t>
                            </w:r>
                          </w:p>
                          <w:p w:rsidR="00BC2466" w:rsidRPr="00F44B2E" w:rsidRDefault="00BC2466" w:rsidP="00BC2466">
                            <w:pPr>
                              <w:pStyle w:val="Prrafodelista"/>
                              <w:rPr>
                                <w:b/>
                                <w:bCs/>
                                <w:sz w:val="11"/>
                                <w:szCs w:val="11"/>
                              </w:rPr>
                            </w:pPr>
                          </w:p>
                          <w:p w:rsidR="001B6DD8" w:rsidRDefault="00BC2466" w:rsidP="00A80245">
                            <w:pPr>
                              <w:pStyle w:val="Sangradetextonormal"/>
                              <w:numPr>
                                <w:ilvl w:val="0"/>
                                <w:numId w:val="1"/>
                              </w:numPr>
                              <w:jc w:val="both"/>
                              <w:rPr>
                                <w:b w:val="0"/>
                                <w:bCs w:val="0"/>
                                <w:sz w:val="19"/>
                                <w:szCs w:val="19"/>
                              </w:rPr>
                            </w:pPr>
                            <w:r w:rsidRPr="001B6DD8">
                              <w:rPr>
                                <w:b w:val="0"/>
                                <w:bCs w:val="0"/>
                                <w:sz w:val="19"/>
                                <w:szCs w:val="19"/>
                              </w:rPr>
                              <w:t>Seis de cada diez jóvenes entre 16 y 19 años que buscan un empleo están en paro (62,6%)</w:t>
                            </w:r>
                          </w:p>
                          <w:p w:rsidR="00A80245" w:rsidRPr="00F44B2E" w:rsidRDefault="00A80245" w:rsidP="00A80245">
                            <w:pPr>
                              <w:pStyle w:val="Prrafodelista"/>
                              <w:rPr>
                                <w:b/>
                                <w:bCs/>
                                <w:sz w:val="11"/>
                                <w:szCs w:val="11"/>
                              </w:rPr>
                            </w:pPr>
                          </w:p>
                          <w:p w:rsidR="00A80245" w:rsidRDefault="003A70E7" w:rsidP="00A80245">
                            <w:pPr>
                              <w:pStyle w:val="Sangradetextonormal"/>
                              <w:numPr>
                                <w:ilvl w:val="0"/>
                                <w:numId w:val="1"/>
                              </w:numPr>
                              <w:jc w:val="both"/>
                              <w:rPr>
                                <w:b w:val="0"/>
                                <w:bCs w:val="0"/>
                                <w:sz w:val="19"/>
                                <w:szCs w:val="19"/>
                              </w:rPr>
                            </w:pPr>
                            <w:r w:rsidRPr="003A70E7">
                              <w:rPr>
                                <w:b w:val="0"/>
                                <w:bCs w:val="0"/>
                                <w:sz w:val="19"/>
                                <w:szCs w:val="19"/>
                              </w:rPr>
                              <w:t xml:space="preserve">Los sectores más dinámicos </w:t>
                            </w:r>
                            <w:r>
                              <w:rPr>
                                <w:b w:val="0"/>
                                <w:bCs w:val="0"/>
                                <w:sz w:val="19"/>
                                <w:szCs w:val="19"/>
                              </w:rPr>
                              <w:t>son</w:t>
                            </w:r>
                            <w:r w:rsidRPr="003A70E7">
                              <w:rPr>
                                <w:b w:val="0"/>
                                <w:bCs w:val="0"/>
                                <w:sz w:val="19"/>
                                <w:szCs w:val="19"/>
                              </w:rPr>
                              <w:t xml:space="preserve"> aquellos cuyos clientes son principalmente de fuera de España</w:t>
                            </w:r>
                            <w:r>
                              <w:rPr>
                                <w:b w:val="0"/>
                                <w:bCs w:val="0"/>
                                <w:sz w:val="19"/>
                                <w:szCs w:val="19"/>
                              </w:rPr>
                              <w:t xml:space="preserve"> (subramas</w:t>
                            </w:r>
                            <w:r w:rsidRPr="003A70E7">
                              <w:rPr>
                                <w:b w:val="0"/>
                                <w:bCs w:val="0"/>
                                <w:sz w:val="19"/>
                                <w:szCs w:val="19"/>
                              </w:rPr>
                              <w:t xml:space="preserve"> turísticas o la fabricación de bienes de inversión para la exportación</w:t>
                            </w:r>
                            <w:r>
                              <w:rPr>
                                <w:b w:val="0"/>
                                <w:bCs w:val="0"/>
                                <w:sz w:val="19"/>
                                <w:szCs w:val="19"/>
                              </w:rPr>
                              <w:t>)</w:t>
                            </w:r>
                          </w:p>
                          <w:p w:rsidR="003A70E7" w:rsidRPr="00F44B2E" w:rsidRDefault="003A70E7" w:rsidP="003A70E7">
                            <w:pPr>
                              <w:pStyle w:val="Prrafodelista"/>
                              <w:rPr>
                                <w:b/>
                                <w:bCs/>
                                <w:sz w:val="11"/>
                                <w:szCs w:val="11"/>
                              </w:rPr>
                            </w:pPr>
                          </w:p>
                          <w:p w:rsidR="003A70E7" w:rsidRDefault="003A70E7" w:rsidP="00A80245">
                            <w:pPr>
                              <w:pStyle w:val="Sangradetextonormal"/>
                              <w:numPr>
                                <w:ilvl w:val="0"/>
                                <w:numId w:val="1"/>
                              </w:numPr>
                              <w:jc w:val="both"/>
                              <w:rPr>
                                <w:b w:val="0"/>
                                <w:bCs w:val="0"/>
                                <w:sz w:val="19"/>
                                <w:szCs w:val="19"/>
                              </w:rPr>
                            </w:pPr>
                            <w:r>
                              <w:rPr>
                                <w:b w:val="0"/>
                                <w:bCs w:val="0"/>
                                <w:sz w:val="19"/>
                                <w:szCs w:val="19"/>
                              </w:rPr>
                              <w:t>L</w:t>
                            </w:r>
                            <w:r w:rsidRPr="003A70E7">
                              <w:rPr>
                                <w:b w:val="0"/>
                                <w:bCs w:val="0"/>
                                <w:sz w:val="19"/>
                                <w:szCs w:val="19"/>
                              </w:rPr>
                              <w:t>as ramas de actividad que más sufren son aquellas dependientes de la inversión realizada en España o de la demanda interna</w:t>
                            </w:r>
                          </w:p>
                          <w:p w:rsidR="00F44B2E" w:rsidRPr="00F44B2E" w:rsidRDefault="00F44B2E" w:rsidP="00F44B2E">
                            <w:pPr>
                              <w:pStyle w:val="Prrafodelista"/>
                              <w:rPr>
                                <w:b/>
                                <w:bCs/>
                                <w:sz w:val="11"/>
                                <w:szCs w:val="11"/>
                              </w:rPr>
                            </w:pPr>
                          </w:p>
                          <w:p w:rsidR="00F44B2E" w:rsidRDefault="00F44B2E" w:rsidP="00A80245">
                            <w:pPr>
                              <w:pStyle w:val="Sangradetextonormal"/>
                              <w:numPr>
                                <w:ilvl w:val="0"/>
                                <w:numId w:val="1"/>
                              </w:numPr>
                              <w:jc w:val="both"/>
                              <w:rPr>
                                <w:b w:val="0"/>
                                <w:bCs w:val="0"/>
                                <w:sz w:val="19"/>
                                <w:szCs w:val="19"/>
                              </w:rPr>
                            </w:pPr>
                            <w:r>
                              <w:rPr>
                                <w:b w:val="0"/>
                                <w:bCs w:val="0"/>
                                <w:sz w:val="19"/>
                                <w:szCs w:val="19"/>
                              </w:rPr>
                              <w:t xml:space="preserve">La ocupación en las Administraciones públicas crecen un 4,5% </w:t>
                            </w:r>
                            <w:proofErr w:type="spellStart"/>
                            <w:r>
                              <w:rPr>
                                <w:b w:val="0"/>
                                <w:bCs w:val="0"/>
                                <w:sz w:val="19"/>
                                <w:szCs w:val="19"/>
                              </w:rPr>
                              <w:t>i.a</w:t>
                            </w:r>
                            <w:proofErr w:type="spellEnd"/>
                            <w:r>
                              <w:rPr>
                                <w:b w:val="0"/>
                                <w:bCs w:val="0"/>
                                <w:sz w:val="19"/>
                                <w:szCs w:val="19"/>
                              </w:rPr>
                              <w:t xml:space="preserve"> pese </w:t>
                            </w:r>
                            <w:r w:rsidR="00CD7292">
                              <w:rPr>
                                <w:b w:val="0"/>
                                <w:bCs w:val="0"/>
                                <w:sz w:val="19"/>
                                <w:szCs w:val="19"/>
                              </w:rPr>
                              <w:t>a</w:t>
                            </w:r>
                            <w:r>
                              <w:rPr>
                                <w:b w:val="0"/>
                                <w:bCs w:val="0"/>
                                <w:sz w:val="19"/>
                                <w:szCs w:val="19"/>
                              </w:rPr>
                              <w:t>l problema de reducción del Déficit Público al que se enfrentan</w:t>
                            </w:r>
                          </w:p>
                          <w:p w:rsidR="00F44B2E" w:rsidRPr="00F44B2E" w:rsidRDefault="00F44B2E" w:rsidP="00F44B2E">
                            <w:pPr>
                              <w:pStyle w:val="Prrafodelista"/>
                              <w:rPr>
                                <w:b/>
                                <w:bCs/>
                                <w:sz w:val="11"/>
                                <w:szCs w:val="11"/>
                              </w:rPr>
                            </w:pPr>
                          </w:p>
                          <w:p w:rsidR="00F44B2E" w:rsidRPr="00F44B2E" w:rsidRDefault="00F44B2E" w:rsidP="00A80245">
                            <w:pPr>
                              <w:pStyle w:val="Sangradetextonormal"/>
                              <w:numPr>
                                <w:ilvl w:val="0"/>
                                <w:numId w:val="1"/>
                              </w:numPr>
                              <w:jc w:val="both"/>
                              <w:rPr>
                                <w:b w:val="0"/>
                                <w:bCs w:val="0"/>
                                <w:sz w:val="19"/>
                                <w:szCs w:val="19"/>
                              </w:rPr>
                            </w:pPr>
                            <w:r w:rsidRPr="00F44B2E">
                              <w:rPr>
                                <w:rFonts w:cs="Arial"/>
                                <w:b w:val="0"/>
                                <w:sz w:val="19"/>
                                <w:szCs w:val="19"/>
                              </w:rPr>
                              <w:t>Madrid y Cataluña, con mínimas variaciones negativas de ocupación</w:t>
                            </w:r>
                            <w:r w:rsidR="00C54E08">
                              <w:rPr>
                                <w:rFonts w:cs="Arial"/>
                                <w:b w:val="0"/>
                                <w:sz w:val="19"/>
                                <w:szCs w:val="19"/>
                              </w:rPr>
                              <w:t>,</w:t>
                            </w:r>
                            <w:r w:rsidRPr="00F44B2E">
                              <w:rPr>
                                <w:rFonts w:cs="Arial"/>
                                <w:b w:val="0"/>
                                <w:sz w:val="19"/>
                                <w:szCs w:val="19"/>
                              </w:rPr>
                              <w:t xml:space="preserve"> neutralizan los malos re</w:t>
                            </w:r>
                            <w:r w:rsidR="0098016F">
                              <w:rPr>
                                <w:rFonts w:cs="Arial"/>
                                <w:b w:val="0"/>
                                <w:sz w:val="19"/>
                                <w:szCs w:val="19"/>
                              </w:rPr>
                              <w:t xml:space="preserve">sultados de la mayoría de CCAA </w:t>
                            </w:r>
                            <w:r w:rsidRPr="00F44B2E">
                              <w:rPr>
                                <w:rFonts w:cs="Arial"/>
                                <w:b w:val="0"/>
                                <w:sz w:val="19"/>
                                <w:szCs w:val="19"/>
                              </w:rPr>
                              <w:t>debido a su mayor peso relativo</w:t>
                            </w:r>
                          </w:p>
                          <w:p w:rsidR="00F44B2E" w:rsidRPr="00F44B2E" w:rsidRDefault="00F44B2E" w:rsidP="00F44B2E">
                            <w:pPr>
                              <w:pStyle w:val="Prrafodelista"/>
                              <w:rPr>
                                <w:b/>
                                <w:bCs/>
                                <w:sz w:val="11"/>
                                <w:szCs w:val="11"/>
                              </w:rPr>
                            </w:pPr>
                          </w:p>
                          <w:p w:rsidR="00F44B2E" w:rsidRPr="00F44B2E" w:rsidRDefault="00F44B2E" w:rsidP="00A80245">
                            <w:pPr>
                              <w:pStyle w:val="Sangradetextonormal"/>
                              <w:numPr>
                                <w:ilvl w:val="0"/>
                                <w:numId w:val="1"/>
                              </w:numPr>
                              <w:jc w:val="both"/>
                              <w:rPr>
                                <w:rFonts w:cs="Arial"/>
                                <w:b w:val="0"/>
                                <w:sz w:val="19"/>
                                <w:szCs w:val="19"/>
                              </w:rPr>
                            </w:pPr>
                            <w:r w:rsidRPr="00F44B2E">
                              <w:rPr>
                                <w:rFonts w:cs="Arial"/>
                                <w:b w:val="0"/>
                                <w:sz w:val="19"/>
                                <w:szCs w:val="19"/>
                              </w:rPr>
                              <w:t>El sector servicios ha influido positivamente en todas las CCAA salvo en Murcia y Andalucía</w:t>
                            </w:r>
                          </w:p>
                          <w:p w:rsidR="00C6185E" w:rsidRPr="00F44B2E" w:rsidRDefault="00C6185E" w:rsidP="00C03818">
                            <w:pPr>
                              <w:pStyle w:val="Prrafodelista"/>
                              <w:rPr>
                                <w:b/>
                                <w:bCs/>
                                <w:sz w:val="11"/>
                                <w:szCs w:val="11"/>
                              </w:rPr>
                            </w:pPr>
                          </w:p>
                          <w:p w:rsidR="00C6185E" w:rsidRPr="004F6D41" w:rsidRDefault="00C6185E" w:rsidP="00C03818">
                            <w:pPr>
                              <w:pStyle w:val="Sangradetextonormal"/>
                              <w:jc w:val="both"/>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7pt;margin-top:27.35pt;width:43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" fillcolor="#f8f8f8" strokecolor="silver">
                <v:stroke dashstyle="1 1" endcap="round"/>
                <v:textbox>
                  <w:txbxContent>
                    <w:p w:rsidR="00C6185E" w:rsidRPr="003A70E7" w:rsidRDefault="00C6185E" w:rsidP="00C03818">
                      <w:pPr>
                        <w:pStyle w:val="Sangradetextonormal"/>
                        <w:ind w:left="0"/>
                        <w:jc w:val="both"/>
                        <w:rPr>
                          <w:b w:val="0"/>
                          <w:bCs w:val="0"/>
                          <w:sz w:val="2"/>
                          <w:szCs w:val="2"/>
                        </w:rPr>
                      </w:pPr>
                    </w:p>
                    <w:p w:rsidR="00C6185E" w:rsidRPr="001B6DD8" w:rsidRDefault="00BC2466" w:rsidP="00BC2466">
                      <w:pPr>
                        <w:pStyle w:val="Sangradetextonormal"/>
                        <w:numPr>
                          <w:ilvl w:val="0"/>
                          <w:numId w:val="1"/>
                        </w:numPr>
                        <w:jc w:val="both"/>
                        <w:rPr>
                          <w:b w:val="0"/>
                          <w:bCs w:val="0"/>
                          <w:sz w:val="19"/>
                          <w:szCs w:val="19"/>
                        </w:rPr>
                      </w:pPr>
                      <w:r w:rsidRPr="001B6DD8">
                        <w:rPr>
                          <w:b w:val="0"/>
                          <w:bCs w:val="0"/>
                          <w:sz w:val="19"/>
                          <w:szCs w:val="19"/>
                        </w:rPr>
                        <w:t xml:space="preserve">El indicador AML </w:t>
                      </w:r>
                      <w:proofErr w:type="spellStart"/>
                      <w:r w:rsidRPr="001B6DD8">
                        <w:rPr>
                          <w:b w:val="0"/>
                          <w:bCs w:val="0"/>
                          <w:sz w:val="19"/>
                          <w:szCs w:val="19"/>
                        </w:rPr>
                        <w:t>Afi</w:t>
                      </w:r>
                      <w:proofErr w:type="spellEnd"/>
                      <w:r w:rsidRPr="001B6DD8">
                        <w:rPr>
                          <w:b w:val="0"/>
                          <w:bCs w:val="0"/>
                          <w:sz w:val="19"/>
                          <w:szCs w:val="19"/>
                        </w:rPr>
                        <w:t>-AGETT prevé una caída de la ocupación del -1,2% en septiembre con un total de 18,30 millones de ocupados</w:t>
                      </w:r>
                      <w:r w:rsidR="00C6185E" w:rsidRPr="001B6DD8">
                        <w:rPr>
                          <w:b w:val="0"/>
                          <w:bCs w:val="0"/>
                          <w:sz w:val="19"/>
                          <w:szCs w:val="19"/>
                        </w:rPr>
                        <w:t xml:space="preserve"> </w:t>
                      </w:r>
                    </w:p>
                    <w:p w:rsidR="00C6185E" w:rsidRPr="00F44B2E" w:rsidRDefault="00C6185E" w:rsidP="00C03818">
                      <w:pPr>
                        <w:pStyle w:val="Prrafodelista"/>
                        <w:rPr>
                          <w:b/>
                          <w:bCs/>
                          <w:sz w:val="11"/>
                          <w:szCs w:val="11"/>
                        </w:rPr>
                      </w:pPr>
                    </w:p>
                    <w:p w:rsidR="00C6185E" w:rsidRDefault="00BC2466" w:rsidP="00C03818">
                      <w:pPr>
                        <w:pStyle w:val="Sangradetextonormal"/>
                        <w:numPr>
                          <w:ilvl w:val="0"/>
                          <w:numId w:val="1"/>
                        </w:numPr>
                        <w:jc w:val="both"/>
                        <w:rPr>
                          <w:b w:val="0"/>
                          <w:bCs w:val="0"/>
                          <w:sz w:val="19"/>
                          <w:szCs w:val="19"/>
                        </w:rPr>
                      </w:pPr>
                      <w:r w:rsidRPr="001B6DD8">
                        <w:rPr>
                          <w:b w:val="0"/>
                          <w:bCs w:val="0"/>
                          <w:sz w:val="19"/>
                          <w:szCs w:val="19"/>
                        </w:rPr>
                        <w:t>Los asalariados del sector público y los miembros de cooperativas son los únicos que aumentan su número de ocupados de manera interanual</w:t>
                      </w:r>
                    </w:p>
                    <w:p w:rsidR="003A70E7" w:rsidRPr="00F44B2E" w:rsidRDefault="003A70E7" w:rsidP="003A70E7">
                      <w:pPr>
                        <w:pStyle w:val="Prrafodelista"/>
                        <w:rPr>
                          <w:b/>
                          <w:bCs/>
                          <w:sz w:val="11"/>
                          <w:szCs w:val="11"/>
                        </w:rPr>
                      </w:pPr>
                    </w:p>
                    <w:p w:rsidR="003A70E7" w:rsidRPr="001B6DD8" w:rsidRDefault="003A70E7" w:rsidP="00C03818">
                      <w:pPr>
                        <w:pStyle w:val="Sangradetextonormal"/>
                        <w:numPr>
                          <w:ilvl w:val="0"/>
                          <w:numId w:val="1"/>
                        </w:numPr>
                        <w:jc w:val="both"/>
                        <w:rPr>
                          <w:b w:val="0"/>
                          <w:bCs w:val="0"/>
                          <w:sz w:val="19"/>
                          <w:szCs w:val="19"/>
                        </w:rPr>
                      </w:pPr>
                      <w:r>
                        <w:rPr>
                          <w:b w:val="0"/>
                          <w:bCs w:val="0"/>
                          <w:sz w:val="19"/>
                          <w:szCs w:val="19"/>
                        </w:rPr>
                        <w:t>Los asalariados del sector privado son los más afectados por el ajuste en la ocupación con 203 mil efectivos menos que en el IITR10</w:t>
                      </w:r>
                    </w:p>
                    <w:p w:rsidR="00BC2466" w:rsidRPr="00F44B2E" w:rsidRDefault="00BC2466" w:rsidP="00BC2466">
                      <w:pPr>
                        <w:pStyle w:val="Prrafodelista"/>
                        <w:rPr>
                          <w:b/>
                          <w:bCs/>
                          <w:sz w:val="11"/>
                          <w:szCs w:val="11"/>
                        </w:rPr>
                      </w:pPr>
                    </w:p>
                    <w:p w:rsidR="001B6DD8" w:rsidRDefault="00BC2466" w:rsidP="00A80245">
                      <w:pPr>
                        <w:pStyle w:val="Sangradetextonormal"/>
                        <w:numPr>
                          <w:ilvl w:val="0"/>
                          <w:numId w:val="1"/>
                        </w:numPr>
                        <w:jc w:val="both"/>
                        <w:rPr>
                          <w:b w:val="0"/>
                          <w:bCs w:val="0"/>
                          <w:sz w:val="19"/>
                          <w:szCs w:val="19"/>
                        </w:rPr>
                      </w:pPr>
                      <w:r w:rsidRPr="001B6DD8">
                        <w:rPr>
                          <w:b w:val="0"/>
                          <w:bCs w:val="0"/>
                          <w:sz w:val="19"/>
                          <w:szCs w:val="19"/>
                        </w:rPr>
                        <w:t>Seis de cada diez jóvenes entre 16 y 19 años que buscan un empleo están en paro (62,6%)</w:t>
                      </w:r>
                    </w:p>
                    <w:p w:rsidR="00A80245" w:rsidRPr="00F44B2E" w:rsidRDefault="00A80245" w:rsidP="00A80245">
                      <w:pPr>
                        <w:pStyle w:val="Prrafodelista"/>
                        <w:rPr>
                          <w:b/>
                          <w:bCs/>
                          <w:sz w:val="11"/>
                          <w:szCs w:val="11"/>
                        </w:rPr>
                      </w:pPr>
                    </w:p>
                    <w:p w:rsidR="00A80245" w:rsidRDefault="003A70E7" w:rsidP="00A80245">
                      <w:pPr>
                        <w:pStyle w:val="Sangradetextonormal"/>
                        <w:numPr>
                          <w:ilvl w:val="0"/>
                          <w:numId w:val="1"/>
                        </w:numPr>
                        <w:jc w:val="both"/>
                        <w:rPr>
                          <w:b w:val="0"/>
                          <w:bCs w:val="0"/>
                          <w:sz w:val="19"/>
                          <w:szCs w:val="19"/>
                        </w:rPr>
                      </w:pPr>
                      <w:r w:rsidRPr="003A70E7">
                        <w:rPr>
                          <w:b w:val="0"/>
                          <w:bCs w:val="0"/>
                          <w:sz w:val="19"/>
                          <w:szCs w:val="19"/>
                        </w:rPr>
                        <w:t xml:space="preserve">Los sectores más dinámicos </w:t>
                      </w:r>
                      <w:r>
                        <w:rPr>
                          <w:b w:val="0"/>
                          <w:bCs w:val="0"/>
                          <w:sz w:val="19"/>
                          <w:szCs w:val="19"/>
                        </w:rPr>
                        <w:t>son</w:t>
                      </w:r>
                      <w:r w:rsidRPr="003A70E7">
                        <w:rPr>
                          <w:b w:val="0"/>
                          <w:bCs w:val="0"/>
                          <w:sz w:val="19"/>
                          <w:szCs w:val="19"/>
                        </w:rPr>
                        <w:t xml:space="preserve"> aquellos cuyos clientes son principalmente de fuera de España</w:t>
                      </w:r>
                      <w:r>
                        <w:rPr>
                          <w:b w:val="0"/>
                          <w:bCs w:val="0"/>
                          <w:sz w:val="19"/>
                          <w:szCs w:val="19"/>
                        </w:rPr>
                        <w:t xml:space="preserve"> (subramas</w:t>
                      </w:r>
                      <w:r w:rsidRPr="003A70E7">
                        <w:rPr>
                          <w:b w:val="0"/>
                          <w:bCs w:val="0"/>
                          <w:sz w:val="19"/>
                          <w:szCs w:val="19"/>
                        </w:rPr>
                        <w:t xml:space="preserve"> turísticas o la fabricación de bienes de inversión para la exportación</w:t>
                      </w:r>
                      <w:r>
                        <w:rPr>
                          <w:b w:val="0"/>
                          <w:bCs w:val="0"/>
                          <w:sz w:val="19"/>
                          <w:szCs w:val="19"/>
                        </w:rPr>
                        <w:t>)</w:t>
                      </w:r>
                    </w:p>
                    <w:p w:rsidR="003A70E7" w:rsidRPr="00F44B2E" w:rsidRDefault="003A70E7" w:rsidP="003A70E7">
                      <w:pPr>
                        <w:pStyle w:val="Prrafodelista"/>
                        <w:rPr>
                          <w:b/>
                          <w:bCs/>
                          <w:sz w:val="11"/>
                          <w:szCs w:val="11"/>
                        </w:rPr>
                      </w:pPr>
                    </w:p>
                    <w:p w:rsidR="003A70E7" w:rsidRDefault="003A70E7" w:rsidP="00A80245">
                      <w:pPr>
                        <w:pStyle w:val="Sangradetextonormal"/>
                        <w:numPr>
                          <w:ilvl w:val="0"/>
                          <w:numId w:val="1"/>
                        </w:numPr>
                        <w:jc w:val="both"/>
                        <w:rPr>
                          <w:b w:val="0"/>
                          <w:bCs w:val="0"/>
                          <w:sz w:val="19"/>
                          <w:szCs w:val="19"/>
                        </w:rPr>
                      </w:pPr>
                      <w:r>
                        <w:rPr>
                          <w:b w:val="0"/>
                          <w:bCs w:val="0"/>
                          <w:sz w:val="19"/>
                          <w:szCs w:val="19"/>
                        </w:rPr>
                        <w:t>L</w:t>
                      </w:r>
                      <w:r w:rsidRPr="003A70E7">
                        <w:rPr>
                          <w:b w:val="0"/>
                          <w:bCs w:val="0"/>
                          <w:sz w:val="19"/>
                          <w:szCs w:val="19"/>
                        </w:rPr>
                        <w:t>as ramas de actividad que más sufren son aquellas dependientes de la inversión realizada en España o de la demanda interna</w:t>
                      </w:r>
                    </w:p>
                    <w:p w:rsidR="00F44B2E" w:rsidRPr="00F44B2E" w:rsidRDefault="00F44B2E" w:rsidP="00F44B2E">
                      <w:pPr>
                        <w:pStyle w:val="Prrafodelista"/>
                        <w:rPr>
                          <w:b/>
                          <w:bCs/>
                          <w:sz w:val="11"/>
                          <w:szCs w:val="11"/>
                        </w:rPr>
                      </w:pPr>
                    </w:p>
                    <w:p w:rsidR="00F44B2E" w:rsidRDefault="00F44B2E" w:rsidP="00A80245">
                      <w:pPr>
                        <w:pStyle w:val="Sangradetextonormal"/>
                        <w:numPr>
                          <w:ilvl w:val="0"/>
                          <w:numId w:val="1"/>
                        </w:numPr>
                        <w:jc w:val="both"/>
                        <w:rPr>
                          <w:b w:val="0"/>
                          <w:bCs w:val="0"/>
                          <w:sz w:val="19"/>
                          <w:szCs w:val="19"/>
                        </w:rPr>
                      </w:pPr>
                      <w:r>
                        <w:rPr>
                          <w:b w:val="0"/>
                          <w:bCs w:val="0"/>
                          <w:sz w:val="19"/>
                          <w:szCs w:val="19"/>
                        </w:rPr>
                        <w:t xml:space="preserve">La ocupación en las Administraciones públicas crecen un 4,5% </w:t>
                      </w:r>
                      <w:proofErr w:type="spellStart"/>
                      <w:r>
                        <w:rPr>
                          <w:b w:val="0"/>
                          <w:bCs w:val="0"/>
                          <w:sz w:val="19"/>
                          <w:szCs w:val="19"/>
                        </w:rPr>
                        <w:t>i.a</w:t>
                      </w:r>
                      <w:proofErr w:type="spellEnd"/>
                      <w:r>
                        <w:rPr>
                          <w:b w:val="0"/>
                          <w:bCs w:val="0"/>
                          <w:sz w:val="19"/>
                          <w:szCs w:val="19"/>
                        </w:rPr>
                        <w:t xml:space="preserve"> pese </w:t>
                      </w:r>
                      <w:r w:rsidR="00CD7292">
                        <w:rPr>
                          <w:b w:val="0"/>
                          <w:bCs w:val="0"/>
                          <w:sz w:val="19"/>
                          <w:szCs w:val="19"/>
                        </w:rPr>
                        <w:t>a</w:t>
                      </w:r>
                      <w:r>
                        <w:rPr>
                          <w:b w:val="0"/>
                          <w:bCs w:val="0"/>
                          <w:sz w:val="19"/>
                          <w:szCs w:val="19"/>
                        </w:rPr>
                        <w:t>l problema de reducción del Déficit Público al que se enfrentan</w:t>
                      </w:r>
                    </w:p>
                    <w:p w:rsidR="00F44B2E" w:rsidRPr="00F44B2E" w:rsidRDefault="00F44B2E" w:rsidP="00F44B2E">
                      <w:pPr>
                        <w:pStyle w:val="Prrafodelista"/>
                        <w:rPr>
                          <w:b/>
                          <w:bCs/>
                          <w:sz w:val="11"/>
                          <w:szCs w:val="11"/>
                        </w:rPr>
                      </w:pPr>
                    </w:p>
                    <w:p w:rsidR="00F44B2E" w:rsidRPr="00F44B2E" w:rsidRDefault="00F44B2E" w:rsidP="00A80245">
                      <w:pPr>
                        <w:pStyle w:val="Sangradetextonormal"/>
                        <w:numPr>
                          <w:ilvl w:val="0"/>
                          <w:numId w:val="1"/>
                        </w:numPr>
                        <w:jc w:val="both"/>
                        <w:rPr>
                          <w:b w:val="0"/>
                          <w:bCs w:val="0"/>
                          <w:sz w:val="19"/>
                          <w:szCs w:val="19"/>
                        </w:rPr>
                      </w:pPr>
                      <w:r w:rsidRPr="00F44B2E">
                        <w:rPr>
                          <w:rFonts w:cs="Arial"/>
                          <w:b w:val="0"/>
                          <w:sz w:val="19"/>
                          <w:szCs w:val="19"/>
                        </w:rPr>
                        <w:t>Madrid y Cataluña, con mínimas variaciones negativas de ocupación</w:t>
                      </w:r>
                      <w:r w:rsidR="00C54E08">
                        <w:rPr>
                          <w:rFonts w:cs="Arial"/>
                          <w:b w:val="0"/>
                          <w:sz w:val="19"/>
                          <w:szCs w:val="19"/>
                        </w:rPr>
                        <w:t>,</w:t>
                      </w:r>
                      <w:r w:rsidRPr="00F44B2E">
                        <w:rPr>
                          <w:rFonts w:cs="Arial"/>
                          <w:b w:val="0"/>
                          <w:sz w:val="19"/>
                          <w:szCs w:val="19"/>
                        </w:rPr>
                        <w:t xml:space="preserve"> neutralizan los malos re</w:t>
                      </w:r>
                      <w:r w:rsidR="0098016F">
                        <w:rPr>
                          <w:rFonts w:cs="Arial"/>
                          <w:b w:val="0"/>
                          <w:sz w:val="19"/>
                          <w:szCs w:val="19"/>
                        </w:rPr>
                        <w:t xml:space="preserve">sultados de la mayoría de CCAA </w:t>
                      </w:r>
                      <w:r w:rsidRPr="00F44B2E">
                        <w:rPr>
                          <w:rFonts w:cs="Arial"/>
                          <w:b w:val="0"/>
                          <w:sz w:val="19"/>
                          <w:szCs w:val="19"/>
                        </w:rPr>
                        <w:t>debido a su mayor peso relativo</w:t>
                      </w:r>
                    </w:p>
                    <w:p w:rsidR="00F44B2E" w:rsidRPr="00F44B2E" w:rsidRDefault="00F44B2E" w:rsidP="00F44B2E">
                      <w:pPr>
                        <w:pStyle w:val="Prrafodelista"/>
                        <w:rPr>
                          <w:b/>
                          <w:bCs/>
                          <w:sz w:val="11"/>
                          <w:szCs w:val="11"/>
                        </w:rPr>
                      </w:pPr>
                    </w:p>
                    <w:p w:rsidR="00F44B2E" w:rsidRPr="00F44B2E" w:rsidRDefault="00F44B2E" w:rsidP="00A80245">
                      <w:pPr>
                        <w:pStyle w:val="Sangradetextonormal"/>
                        <w:numPr>
                          <w:ilvl w:val="0"/>
                          <w:numId w:val="1"/>
                        </w:numPr>
                        <w:jc w:val="both"/>
                        <w:rPr>
                          <w:rFonts w:cs="Arial"/>
                          <w:b w:val="0"/>
                          <w:sz w:val="19"/>
                          <w:szCs w:val="19"/>
                        </w:rPr>
                      </w:pPr>
                      <w:r w:rsidRPr="00F44B2E">
                        <w:rPr>
                          <w:rFonts w:cs="Arial"/>
                          <w:b w:val="0"/>
                          <w:sz w:val="19"/>
                          <w:szCs w:val="19"/>
                        </w:rPr>
                        <w:t>El sector servicios ha influido positivamente en todas las CCAA salvo en Murcia y Andalucía</w:t>
                      </w:r>
                    </w:p>
                    <w:p w:rsidR="00C6185E" w:rsidRPr="00F44B2E" w:rsidRDefault="00C6185E" w:rsidP="00C03818">
                      <w:pPr>
                        <w:pStyle w:val="Prrafodelista"/>
                        <w:rPr>
                          <w:b/>
                          <w:bCs/>
                          <w:sz w:val="11"/>
                          <w:szCs w:val="11"/>
                        </w:rPr>
                      </w:pPr>
                    </w:p>
                    <w:p w:rsidR="00C6185E" w:rsidRPr="004F6D41" w:rsidRDefault="00C6185E" w:rsidP="00C03818">
                      <w:pPr>
                        <w:pStyle w:val="Sangradetextonormal"/>
                        <w:jc w:val="both"/>
                        <w:rPr>
                          <w:b w:val="0"/>
                          <w:bCs w:val="0"/>
                        </w:rPr>
                      </w:pPr>
                    </w:p>
                  </w:txbxContent>
                </v:textbox>
                <w10:wrap type="square"/>
              </v:rect>
            </w:pict>
          </mc:Fallback>
        </mc:AlternateContent>
      </w:r>
      <w:r w:rsidR="003452A0" w:rsidRPr="00BC2466">
        <w:rPr>
          <w:noProof/>
          <w:color w:val="0000FF"/>
          <w:sz w:val="20"/>
          <w:szCs w:val="20"/>
        </w:rPr>
        <w:t xml:space="preserve">MADRID Y </w:t>
      </w:r>
      <w:r w:rsidR="001A6BE7" w:rsidRPr="00BC2466">
        <w:rPr>
          <w:noProof/>
          <w:color w:val="0000FF"/>
          <w:sz w:val="20"/>
          <w:szCs w:val="20"/>
        </w:rPr>
        <w:t>CATALUÑA OCULTAN LOS MALOS RESULTADOS DE OCUPACIÓN EN LA MAYORÍA DE CCAA</w:t>
      </w:r>
    </w:p>
    <w:p w:rsidR="00C03818" w:rsidRPr="0086767D" w:rsidRDefault="00C03818" w:rsidP="00C03818">
      <w:pPr>
        <w:ind w:right="-81"/>
        <w:jc w:val="both"/>
        <w:rPr>
          <w:rFonts w:cs="Arial"/>
          <w:b/>
          <w:color w:val="FF0000"/>
          <w:sz w:val="16"/>
          <w:szCs w:val="16"/>
          <w:u w:val="single"/>
        </w:rPr>
      </w:pPr>
    </w:p>
    <w:p w:rsidR="003B141B" w:rsidRPr="00551825" w:rsidRDefault="003B141B" w:rsidP="003B141B">
      <w:pPr>
        <w:jc w:val="both"/>
        <w:rPr>
          <w:rFonts w:cs="Arial"/>
          <w:b/>
          <w:color w:val="000080"/>
          <w:sz w:val="19"/>
          <w:szCs w:val="19"/>
          <w:u w:val="single"/>
        </w:rPr>
      </w:pPr>
      <w:r w:rsidRPr="00551825">
        <w:rPr>
          <w:rFonts w:cs="Arial"/>
          <w:b/>
          <w:color w:val="000080"/>
          <w:sz w:val="19"/>
          <w:szCs w:val="19"/>
          <w:u w:val="single"/>
        </w:rPr>
        <w:t xml:space="preserve">El Indicador AML </w:t>
      </w:r>
      <w:proofErr w:type="spellStart"/>
      <w:r w:rsidRPr="00551825">
        <w:rPr>
          <w:rFonts w:cs="Arial"/>
          <w:b/>
          <w:color w:val="000080"/>
          <w:sz w:val="19"/>
          <w:szCs w:val="19"/>
          <w:u w:val="single"/>
        </w:rPr>
        <w:t>Afi</w:t>
      </w:r>
      <w:proofErr w:type="spellEnd"/>
      <w:r w:rsidRPr="00551825">
        <w:rPr>
          <w:rFonts w:cs="Arial"/>
          <w:b/>
          <w:color w:val="000080"/>
          <w:sz w:val="19"/>
          <w:szCs w:val="19"/>
          <w:u w:val="single"/>
        </w:rPr>
        <w:t>-AGETT prevé una caída de la ocupación del -1,2% interanual en septiembre</w:t>
      </w:r>
      <w:r w:rsidR="00BC2466" w:rsidRPr="00551825">
        <w:rPr>
          <w:rFonts w:cs="Arial"/>
          <w:b/>
          <w:color w:val="000080"/>
          <w:sz w:val="19"/>
          <w:szCs w:val="19"/>
          <w:u w:val="single"/>
        </w:rPr>
        <w:t>,</w:t>
      </w:r>
      <w:r w:rsidRPr="00551825">
        <w:rPr>
          <w:rFonts w:cs="Arial"/>
          <w:b/>
          <w:color w:val="000080"/>
          <w:sz w:val="19"/>
          <w:szCs w:val="19"/>
          <w:u w:val="single"/>
        </w:rPr>
        <w:t xml:space="preserve"> situando en agregado total en los 18,30 millones de ocupados</w:t>
      </w:r>
    </w:p>
    <w:p w:rsidR="00C03818" w:rsidRPr="00551825" w:rsidRDefault="00C03818" w:rsidP="00C03818">
      <w:pPr>
        <w:ind w:right="-81"/>
        <w:jc w:val="both"/>
        <w:rPr>
          <w:rFonts w:cs="Arial"/>
          <w:b/>
          <w:color w:val="000080"/>
          <w:sz w:val="12"/>
          <w:szCs w:val="12"/>
          <w:u w:val="single"/>
        </w:rPr>
      </w:pPr>
    </w:p>
    <w:p w:rsidR="003B141B" w:rsidRPr="00551825" w:rsidRDefault="003B141B" w:rsidP="00C03818">
      <w:pPr>
        <w:ind w:right="-81"/>
        <w:jc w:val="both"/>
        <w:rPr>
          <w:rFonts w:cs="Arial"/>
          <w:sz w:val="19"/>
          <w:szCs w:val="19"/>
        </w:rPr>
      </w:pPr>
      <w:r w:rsidRPr="00551825">
        <w:rPr>
          <w:rFonts w:cs="Arial"/>
          <w:sz w:val="19"/>
          <w:szCs w:val="19"/>
        </w:rPr>
        <w:t xml:space="preserve">El indicador AML </w:t>
      </w:r>
      <w:proofErr w:type="spellStart"/>
      <w:r w:rsidRPr="00551825">
        <w:rPr>
          <w:rFonts w:cs="Arial"/>
          <w:sz w:val="19"/>
          <w:szCs w:val="19"/>
        </w:rPr>
        <w:t>Afi</w:t>
      </w:r>
      <w:proofErr w:type="spellEnd"/>
      <w:r w:rsidRPr="00551825">
        <w:rPr>
          <w:rFonts w:cs="Arial"/>
          <w:sz w:val="19"/>
          <w:szCs w:val="19"/>
        </w:rPr>
        <w:t xml:space="preserve">-AGETT espera, en este tercer trimestre del año, que los resultados en términos interanuales vuelvan a </w:t>
      </w:r>
      <w:r w:rsidRPr="00FE4555">
        <w:rPr>
          <w:rFonts w:cs="Arial"/>
          <w:b/>
          <w:sz w:val="19"/>
          <w:szCs w:val="19"/>
        </w:rPr>
        <w:t>emporar hasta retroceder a los 18,30 millones de ocupados, con una tasa de caída interanual de la ocupación del -1,2%.</w:t>
      </w:r>
      <w:r w:rsidRPr="00551825">
        <w:rPr>
          <w:rFonts w:cs="Arial"/>
          <w:sz w:val="19"/>
          <w:szCs w:val="19"/>
        </w:rPr>
        <w:t xml:space="preserve"> Por lo tanto, cabe esperar un cierre de año negativo para el empleo, con nuevas correcciones en la ocupación, esperemos que moderadas.</w:t>
      </w:r>
    </w:p>
    <w:p w:rsidR="003B141B" w:rsidRPr="00551825" w:rsidRDefault="003B141B" w:rsidP="00C03818">
      <w:pPr>
        <w:ind w:right="-81"/>
        <w:jc w:val="both"/>
        <w:rPr>
          <w:rFonts w:cs="Arial"/>
          <w:sz w:val="14"/>
          <w:szCs w:val="14"/>
        </w:rPr>
      </w:pPr>
    </w:p>
    <w:p w:rsidR="00C03818" w:rsidRPr="00551825" w:rsidRDefault="003B141B" w:rsidP="00C03818">
      <w:pPr>
        <w:ind w:right="-81"/>
        <w:jc w:val="both"/>
        <w:rPr>
          <w:rFonts w:cs="Arial"/>
          <w:b/>
          <w:color w:val="000080"/>
          <w:sz w:val="19"/>
          <w:szCs w:val="19"/>
          <w:u w:val="single"/>
        </w:rPr>
      </w:pPr>
      <w:r w:rsidRPr="00551825">
        <w:rPr>
          <w:rFonts w:cs="Arial"/>
          <w:b/>
          <w:color w:val="000080"/>
          <w:sz w:val="19"/>
          <w:szCs w:val="19"/>
          <w:u w:val="single"/>
        </w:rPr>
        <w:t>Sólo los asalariados del sector público y los miembros de cooperativas muestran ritmos positivos de ocupación en términos interanuales</w:t>
      </w:r>
    </w:p>
    <w:p w:rsidR="00C03818" w:rsidRPr="00551825" w:rsidRDefault="00C03818" w:rsidP="00C03818">
      <w:pPr>
        <w:ind w:right="-81"/>
        <w:jc w:val="both"/>
        <w:rPr>
          <w:rFonts w:cs="Arial"/>
          <w:color w:val="FF0000"/>
          <w:sz w:val="12"/>
          <w:szCs w:val="12"/>
        </w:rPr>
      </w:pPr>
    </w:p>
    <w:p w:rsidR="00C03818" w:rsidRPr="00551825" w:rsidRDefault="003B141B" w:rsidP="00C03818">
      <w:pPr>
        <w:ind w:right="-81"/>
        <w:jc w:val="both"/>
        <w:rPr>
          <w:rFonts w:cs="Arial"/>
          <w:sz w:val="19"/>
          <w:szCs w:val="19"/>
        </w:rPr>
      </w:pPr>
      <w:r w:rsidRPr="00551825">
        <w:rPr>
          <w:rFonts w:cs="Arial"/>
          <w:sz w:val="19"/>
          <w:szCs w:val="19"/>
        </w:rPr>
        <w:t>Si se analiza el desglose del crecimiento interanual de la ocupación</w:t>
      </w:r>
      <w:r w:rsidR="003452A0" w:rsidRPr="00551825">
        <w:rPr>
          <w:rFonts w:cs="Arial"/>
          <w:sz w:val="19"/>
          <w:szCs w:val="19"/>
        </w:rPr>
        <w:t>, por situación</w:t>
      </w:r>
      <w:r w:rsidRPr="00551825">
        <w:rPr>
          <w:rFonts w:cs="Arial"/>
          <w:sz w:val="19"/>
          <w:szCs w:val="19"/>
        </w:rPr>
        <w:t xml:space="preserve"> profesional del encuestado, se observa que </w:t>
      </w:r>
      <w:r w:rsidRPr="00FE4555">
        <w:rPr>
          <w:rFonts w:cs="Arial"/>
          <w:b/>
          <w:sz w:val="19"/>
          <w:szCs w:val="19"/>
        </w:rPr>
        <w:t xml:space="preserve">tan sólo </w:t>
      </w:r>
      <w:r w:rsidRPr="000075FF">
        <w:rPr>
          <w:rFonts w:cs="Arial"/>
          <w:sz w:val="19"/>
          <w:szCs w:val="19"/>
        </w:rPr>
        <w:t>aquellos que se corresponden con</w:t>
      </w:r>
      <w:r w:rsidRPr="00FE4555">
        <w:rPr>
          <w:rFonts w:cs="Arial"/>
          <w:b/>
          <w:sz w:val="19"/>
          <w:szCs w:val="19"/>
        </w:rPr>
        <w:t xml:space="preserve"> los asalariados del sector público</w:t>
      </w:r>
      <w:r w:rsidRPr="00551825">
        <w:rPr>
          <w:rFonts w:cs="Arial"/>
          <w:sz w:val="19"/>
          <w:szCs w:val="19"/>
        </w:rPr>
        <w:t xml:space="preserve"> (+131,9 mil) </w:t>
      </w:r>
      <w:r w:rsidRPr="00FE4555">
        <w:rPr>
          <w:rFonts w:cs="Arial"/>
          <w:b/>
          <w:sz w:val="19"/>
          <w:szCs w:val="19"/>
        </w:rPr>
        <w:t>y</w:t>
      </w:r>
      <w:r w:rsidRPr="00551825">
        <w:rPr>
          <w:rFonts w:cs="Arial"/>
          <w:sz w:val="19"/>
          <w:szCs w:val="19"/>
        </w:rPr>
        <w:t xml:space="preserve"> aquellas personas </w:t>
      </w:r>
      <w:r w:rsidRPr="00FE4555">
        <w:rPr>
          <w:rFonts w:cs="Arial"/>
          <w:b/>
          <w:sz w:val="19"/>
          <w:szCs w:val="19"/>
        </w:rPr>
        <w:t>que forman parte de una cooperativa</w:t>
      </w:r>
      <w:r w:rsidRPr="00551825">
        <w:rPr>
          <w:rFonts w:cs="Arial"/>
          <w:sz w:val="19"/>
          <w:szCs w:val="19"/>
        </w:rPr>
        <w:t xml:space="preserve"> (+4.900) </w:t>
      </w:r>
      <w:r w:rsidRPr="00FE4555">
        <w:rPr>
          <w:rFonts w:cs="Arial"/>
          <w:b/>
          <w:sz w:val="19"/>
          <w:szCs w:val="19"/>
        </w:rPr>
        <w:t>incrementan</w:t>
      </w:r>
      <w:r w:rsidRPr="00551825">
        <w:rPr>
          <w:rFonts w:cs="Arial"/>
          <w:sz w:val="19"/>
          <w:szCs w:val="19"/>
        </w:rPr>
        <w:t xml:space="preserve"> su número de </w:t>
      </w:r>
      <w:r w:rsidRPr="00FE4555">
        <w:rPr>
          <w:rFonts w:cs="Arial"/>
          <w:b/>
          <w:sz w:val="19"/>
          <w:szCs w:val="19"/>
        </w:rPr>
        <w:t>ocupados</w:t>
      </w:r>
      <w:r w:rsidRPr="00551825">
        <w:rPr>
          <w:rFonts w:cs="Arial"/>
          <w:sz w:val="19"/>
          <w:szCs w:val="19"/>
        </w:rPr>
        <w:t xml:space="preserve"> de forma interanual. </w:t>
      </w:r>
    </w:p>
    <w:p w:rsidR="003B141B" w:rsidRPr="00551825" w:rsidRDefault="003B141B" w:rsidP="00C03818">
      <w:pPr>
        <w:ind w:right="-81"/>
        <w:jc w:val="both"/>
        <w:rPr>
          <w:rFonts w:cs="Arial"/>
          <w:sz w:val="12"/>
          <w:szCs w:val="12"/>
        </w:rPr>
      </w:pPr>
    </w:p>
    <w:p w:rsidR="003B141B" w:rsidRPr="00551825" w:rsidRDefault="003B141B" w:rsidP="00C03818">
      <w:pPr>
        <w:ind w:right="-81"/>
        <w:jc w:val="both"/>
        <w:rPr>
          <w:rFonts w:cs="Arial"/>
          <w:sz w:val="19"/>
          <w:szCs w:val="19"/>
        </w:rPr>
      </w:pPr>
      <w:r w:rsidRPr="00FE4555">
        <w:rPr>
          <w:rFonts w:cs="Arial"/>
          <w:b/>
          <w:sz w:val="19"/>
          <w:szCs w:val="19"/>
        </w:rPr>
        <w:t>En el lado contrario se encuentran los asalariados del sector privado</w:t>
      </w:r>
      <w:r w:rsidRPr="00551825">
        <w:rPr>
          <w:rFonts w:cs="Arial"/>
          <w:sz w:val="19"/>
          <w:szCs w:val="19"/>
        </w:rPr>
        <w:t xml:space="preserve">, con caídas interanuales de la ocupación de 203 mil efectivos, seguidos de los </w:t>
      </w:r>
      <w:r w:rsidRPr="00FE4555">
        <w:rPr>
          <w:rFonts w:cs="Arial"/>
          <w:b/>
          <w:sz w:val="19"/>
          <w:szCs w:val="19"/>
        </w:rPr>
        <w:t>empleadores</w:t>
      </w:r>
      <w:r w:rsidRPr="00551825">
        <w:rPr>
          <w:rFonts w:cs="Arial"/>
          <w:sz w:val="19"/>
          <w:szCs w:val="19"/>
        </w:rPr>
        <w:t xml:space="preserve"> (-84 mil) y de los </w:t>
      </w:r>
      <w:r w:rsidRPr="00FE4555">
        <w:rPr>
          <w:rFonts w:cs="Arial"/>
          <w:b/>
          <w:sz w:val="19"/>
          <w:szCs w:val="19"/>
        </w:rPr>
        <w:t>empresarios sin asalariados a su cargo o trabajadores independientes</w:t>
      </w:r>
      <w:r w:rsidRPr="00551825">
        <w:rPr>
          <w:rFonts w:cs="Arial"/>
          <w:sz w:val="19"/>
          <w:szCs w:val="19"/>
        </w:rPr>
        <w:t xml:space="preserve"> (</w:t>
      </w:r>
      <w:r w:rsidR="00634071" w:rsidRPr="00551825">
        <w:rPr>
          <w:rFonts w:cs="Arial"/>
          <w:sz w:val="19"/>
          <w:szCs w:val="19"/>
        </w:rPr>
        <w:t>-14,2 mil</w:t>
      </w:r>
      <w:r w:rsidRPr="00551825">
        <w:rPr>
          <w:rFonts w:cs="Arial"/>
          <w:sz w:val="19"/>
          <w:szCs w:val="19"/>
        </w:rPr>
        <w:t>)</w:t>
      </w:r>
      <w:r w:rsidR="00634071" w:rsidRPr="00551825">
        <w:rPr>
          <w:rFonts w:cs="Arial"/>
          <w:sz w:val="19"/>
          <w:szCs w:val="19"/>
        </w:rPr>
        <w:t xml:space="preserve">. </w:t>
      </w:r>
    </w:p>
    <w:p w:rsidR="00634071" w:rsidRPr="00551825" w:rsidRDefault="00634071" w:rsidP="00C03818">
      <w:pPr>
        <w:ind w:right="-81"/>
        <w:jc w:val="both"/>
        <w:rPr>
          <w:rFonts w:cs="Arial"/>
          <w:sz w:val="12"/>
          <w:szCs w:val="12"/>
        </w:rPr>
      </w:pPr>
    </w:p>
    <w:p w:rsidR="00551825" w:rsidRDefault="00634071" w:rsidP="00C03818">
      <w:pPr>
        <w:ind w:right="-81"/>
        <w:jc w:val="both"/>
        <w:rPr>
          <w:rFonts w:cs="Arial"/>
          <w:color w:val="0000FF"/>
          <w:sz w:val="19"/>
          <w:szCs w:val="19"/>
        </w:rPr>
      </w:pPr>
      <w:r w:rsidRPr="00551825">
        <w:rPr>
          <w:rFonts w:cs="Arial"/>
          <w:color w:val="0000FF"/>
          <w:sz w:val="19"/>
          <w:szCs w:val="19"/>
        </w:rPr>
        <w:t>Para la Asociación de Grandes Empresas de trabajo temporal “</w:t>
      </w:r>
      <w:r w:rsidRPr="00551825">
        <w:rPr>
          <w:rFonts w:cs="Arial"/>
          <w:i/>
          <w:color w:val="0000FF"/>
          <w:sz w:val="19"/>
          <w:szCs w:val="19"/>
        </w:rPr>
        <w:t xml:space="preserve">es un auténtico drama que el sector privado continúe sufriendo la sangría del desempleo de una forma todavía tan dura. En última instancia son los emprendedores, las empresas privadas las principales </w:t>
      </w:r>
      <w:r w:rsidR="0098016F">
        <w:rPr>
          <w:rFonts w:cs="Arial"/>
          <w:i/>
          <w:color w:val="0000FF"/>
          <w:sz w:val="19"/>
          <w:szCs w:val="19"/>
        </w:rPr>
        <w:t xml:space="preserve">generadoras de riqueza y empleo. Es a ellos, </w:t>
      </w:r>
      <w:r w:rsidRPr="00551825">
        <w:rPr>
          <w:rFonts w:cs="Arial"/>
          <w:i/>
          <w:color w:val="0000FF"/>
          <w:sz w:val="19"/>
          <w:szCs w:val="19"/>
        </w:rPr>
        <w:t xml:space="preserve">hacia quienes tenemos que orientar las políticas de empleo. Ayudar a </w:t>
      </w:r>
      <w:r w:rsidR="0098016F">
        <w:rPr>
          <w:rFonts w:cs="Arial"/>
          <w:i/>
          <w:color w:val="0000FF"/>
          <w:sz w:val="19"/>
          <w:szCs w:val="19"/>
        </w:rPr>
        <w:t>empresas y</w:t>
      </w:r>
      <w:r w:rsidRPr="00551825">
        <w:rPr>
          <w:rFonts w:cs="Arial"/>
          <w:i/>
          <w:color w:val="0000FF"/>
          <w:sz w:val="19"/>
          <w:szCs w:val="19"/>
        </w:rPr>
        <w:t xml:space="preserve"> emprendedores a mantener y crear sus negocios</w:t>
      </w:r>
      <w:r w:rsidR="0098016F">
        <w:rPr>
          <w:rFonts w:cs="Arial"/>
          <w:i/>
          <w:color w:val="0000FF"/>
          <w:sz w:val="19"/>
          <w:szCs w:val="19"/>
        </w:rPr>
        <w:t>,</w:t>
      </w:r>
      <w:r w:rsidRPr="00551825">
        <w:rPr>
          <w:rFonts w:cs="Arial"/>
          <w:i/>
          <w:color w:val="0000FF"/>
          <w:sz w:val="19"/>
          <w:szCs w:val="19"/>
        </w:rPr>
        <w:t xml:space="preserve"> facilita la creación y mantenimiento de empleo. Tenemos que conseguir una mayor flexibilidad del mercado laboral y dotar de una mayor seguridad y garantías al sector privado, que será quien tenga que liderar la recuperación en el empleo</w:t>
      </w:r>
      <w:r w:rsidR="000F3C67" w:rsidRPr="00551825">
        <w:rPr>
          <w:rFonts w:cs="Arial"/>
          <w:color w:val="0000FF"/>
          <w:sz w:val="19"/>
          <w:szCs w:val="19"/>
        </w:rPr>
        <w:t>”.</w:t>
      </w:r>
    </w:p>
    <w:p w:rsidR="00C03818" w:rsidRPr="00551825" w:rsidRDefault="00145984" w:rsidP="00C03818">
      <w:pPr>
        <w:ind w:right="-81"/>
        <w:jc w:val="both"/>
        <w:rPr>
          <w:rFonts w:cs="Arial"/>
          <w:color w:val="0000FF"/>
          <w:sz w:val="19"/>
          <w:szCs w:val="19"/>
        </w:rPr>
      </w:pPr>
      <w:r w:rsidRPr="00551825">
        <w:rPr>
          <w:rFonts w:cs="Arial"/>
          <w:b/>
          <w:color w:val="000080"/>
          <w:sz w:val="19"/>
          <w:szCs w:val="19"/>
          <w:u w:val="single"/>
        </w:rPr>
        <w:lastRenderedPageBreak/>
        <w:t xml:space="preserve">La diferencia entre asalariados temporales </w:t>
      </w:r>
      <w:proofErr w:type="spellStart"/>
      <w:r w:rsidRPr="00551825">
        <w:rPr>
          <w:rFonts w:cs="Arial"/>
          <w:b/>
          <w:color w:val="000080"/>
          <w:sz w:val="19"/>
          <w:szCs w:val="19"/>
          <w:u w:val="single"/>
        </w:rPr>
        <w:t>e</w:t>
      </w:r>
      <w:proofErr w:type="spellEnd"/>
      <w:r w:rsidRPr="00551825">
        <w:rPr>
          <w:rFonts w:cs="Arial"/>
          <w:b/>
          <w:color w:val="000080"/>
          <w:sz w:val="19"/>
          <w:szCs w:val="19"/>
          <w:u w:val="single"/>
        </w:rPr>
        <w:t xml:space="preserve"> indefinidos continúa acentuándose pese a la reciente legislación laboral</w:t>
      </w:r>
    </w:p>
    <w:p w:rsidR="00C03818" w:rsidRPr="00551825" w:rsidRDefault="00C03818" w:rsidP="00C03818">
      <w:pPr>
        <w:ind w:right="-81"/>
        <w:jc w:val="both"/>
        <w:rPr>
          <w:rFonts w:cs="Arial"/>
          <w:b/>
          <w:color w:val="FF0000"/>
          <w:sz w:val="12"/>
          <w:szCs w:val="12"/>
          <w:u w:val="single"/>
        </w:rPr>
      </w:pPr>
    </w:p>
    <w:p w:rsidR="00C03818" w:rsidRPr="00551825" w:rsidRDefault="00C67E38" w:rsidP="00C03818">
      <w:pPr>
        <w:ind w:right="-81"/>
        <w:jc w:val="both"/>
        <w:rPr>
          <w:rFonts w:cs="Arial"/>
          <w:sz w:val="19"/>
          <w:szCs w:val="19"/>
        </w:rPr>
      </w:pPr>
      <w:r w:rsidRPr="00551825">
        <w:rPr>
          <w:rFonts w:cs="Arial"/>
          <w:sz w:val="19"/>
          <w:szCs w:val="19"/>
        </w:rPr>
        <w:t>El empleo asalariado ha mejorado, reduciendo su tasa de variación interanual negativa hasta el -0,5%, que contrasta positivamente con la observada en el mismo periodo del año anterior (</w:t>
      </w:r>
      <w:r w:rsidR="0027643E" w:rsidRPr="0027643E">
        <w:rPr>
          <w:rFonts w:cs="Arial"/>
          <w:sz w:val="19"/>
          <w:szCs w:val="19"/>
        </w:rPr>
        <w:t>-3,8%)</w:t>
      </w:r>
      <w:r w:rsidRPr="0027643E">
        <w:rPr>
          <w:rFonts w:cs="Arial"/>
          <w:sz w:val="19"/>
          <w:szCs w:val="19"/>
        </w:rPr>
        <w:t>.</w:t>
      </w:r>
    </w:p>
    <w:p w:rsidR="00C67E38" w:rsidRPr="00551825" w:rsidRDefault="00C67E38" w:rsidP="00C03818">
      <w:pPr>
        <w:ind w:right="-81"/>
        <w:jc w:val="both"/>
        <w:rPr>
          <w:rFonts w:cs="Arial"/>
          <w:sz w:val="12"/>
          <w:szCs w:val="12"/>
        </w:rPr>
      </w:pPr>
    </w:p>
    <w:p w:rsidR="00C67E38" w:rsidRPr="00551825" w:rsidRDefault="00C67E38" w:rsidP="00C03818">
      <w:pPr>
        <w:ind w:right="-81"/>
        <w:jc w:val="both"/>
        <w:rPr>
          <w:rFonts w:cs="Arial"/>
          <w:sz w:val="19"/>
          <w:szCs w:val="19"/>
        </w:rPr>
      </w:pPr>
      <w:r w:rsidRPr="00551825">
        <w:rPr>
          <w:rFonts w:cs="Arial"/>
          <w:sz w:val="19"/>
          <w:szCs w:val="19"/>
        </w:rPr>
        <w:t xml:space="preserve">En cualquier caso, el comportamiento de los asalariados es bien distinto en función de la duración de su relación laboral. </w:t>
      </w:r>
      <w:r w:rsidRPr="000075FF">
        <w:rPr>
          <w:rFonts w:cs="Arial"/>
          <w:b/>
          <w:sz w:val="19"/>
          <w:szCs w:val="19"/>
        </w:rPr>
        <w:t xml:space="preserve">El empleo temporal ha sido el causante de la mejora relativa </w:t>
      </w:r>
      <w:r w:rsidRPr="00551825">
        <w:rPr>
          <w:rFonts w:cs="Arial"/>
          <w:sz w:val="19"/>
          <w:szCs w:val="19"/>
        </w:rPr>
        <w:t xml:space="preserve">observada, al situarse por segundo trimestre consecutivo en variaciones interanuales positivas con respecto a las cifras trimestrales de 2010. Así, en este segundo trimestre de 2011 había 81 asalariados temporales más que en el mismo periodo de 2010. Sin embargo, </w:t>
      </w:r>
      <w:r w:rsidRPr="000075FF">
        <w:rPr>
          <w:rFonts w:cs="Arial"/>
          <w:b/>
          <w:sz w:val="19"/>
          <w:szCs w:val="19"/>
        </w:rPr>
        <w:t>el empleo asalariado indefinido continúa descendiendo</w:t>
      </w:r>
      <w:r w:rsidRPr="00551825">
        <w:rPr>
          <w:rFonts w:cs="Arial"/>
          <w:sz w:val="19"/>
          <w:szCs w:val="19"/>
        </w:rPr>
        <w:t>, con cerca de 152 mil efectivos menos que en el segundo trimestre de 2010 (-1,3%).</w:t>
      </w:r>
    </w:p>
    <w:p w:rsidR="00C03818" w:rsidRPr="00551825" w:rsidRDefault="00C03818" w:rsidP="00C03818">
      <w:pPr>
        <w:ind w:right="-81"/>
        <w:jc w:val="both"/>
        <w:rPr>
          <w:rFonts w:cs="Arial"/>
          <w:sz w:val="14"/>
          <w:szCs w:val="14"/>
        </w:rPr>
      </w:pPr>
    </w:p>
    <w:p w:rsidR="00C6185E" w:rsidRPr="00551825" w:rsidRDefault="00C6185E" w:rsidP="00C03818">
      <w:pPr>
        <w:ind w:right="-81"/>
        <w:jc w:val="both"/>
        <w:rPr>
          <w:rFonts w:cs="Arial"/>
          <w:b/>
          <w:color w:val="000080"/>
          <w:sz w:val="19"/>
          <w:szCs w:val="19"/>
          <w:u w:val="single"/>
        </w:rPr>
      </w:pPr>
      <w:r w:rsidRPr="00551825">
        <w:rPr>
          <w:rFonts w:cs="Arial"/>
          <w:b/>
          <w:color w:val="000080"/>
          <w:sz w:val="19"/>
          <w:szCs w:val="19"/>
          <w:u w:val="single"/>
        </w:rPr>
        <w:t>Seis de cada diez jóvenes entre 16 y 19 años que buscan activamente un empleo están en paro (62,6%)</w:t>
      </w:r>
    </w:p>
    <w:p w:rsidR="00C6185E" w:rsidRPr="00551825" w:rsidRDefault="00C6185E" w:rsidP="00C03818">
      <w:pPr>
        <w:ind w:right="-81"/>
        <w:jc w:val="both"/>
        <w:rPr>
          <w:rFonts w:cs="Arial"/>
          <w:b/>
          <w:color w:val="000080"/>
          <w:sz w:val="12"/>
          <w:szCs w:val="12"/>
          <w:u w:val="single"/>
        </w:rPr>
      </w:pPr>
    </w:p>
    <w:p w:rsidR="00C6185E" w:rsidRPr="00551825" w:rsidRDefault="00C6185E" w:rsidP="00C03818">
      <w:pPr>
        <w:ind w:right="-81"/>
        <w:jc w:val="both"/>
        <w:rPr>
          <w:rFonts w:cs="Arial"/>
          <w:sz w:val="19"/>
          <w:szCs w:val="19"/>
        </w:rPr>
      </w:pPr>
      <w:r w:rsidRPr="00551825">
        <w:rPr>
          <w:rFonts w:cs="Arial"/>
          <w:sz w:val="19"/>
          <w:szCs w:val="19"/>
        </w:rPr>
        <w:t xml:space="preserve">El incremento de la tasa de paro se ha reflejado en todos los grupos de edad, salvo en el colectivo de 60 a 64 años. </w:t>
      </w:r>
      <w:r w:rsidRPr="000075FF">
        <w:rPr>
          <w:rFonts w:cs="Arial"/>
          <w:b/>
          <w:sz w:val="19"/>
          <w:szCs w:val="19"/>
        </w:rPr>
        <w:t xml:space="preserve">La situación de los jóvenes y su </w:t>
      </w:r>
      <w:r w:rsidR="00AC5DDB" w:rsidRPr="000075FF">
        <w:rPr>
          <w:rFonts w:cs="Arial"/>
          <w:b/>
          <w:sz w:val="19"/>
          <w:szCs w:val="19"/>
        </w:rPr>
        <w:t>dificultad</w:t>
      </w:r>
      <w:r w:rsidRPr="000075FF">
        <w:rPr>
          <w:rFonts w:cs="Arial"/>
          <w:b/>
          <w:sz w:val="19"/>
          <w:szCs w:val="19"/>
        </w:rPr>
        <w:t xml:space="preserve"> a la hora de encontrar el primer empleo siguen siendo los elementos más preocupantes. La mayor tasa de paro se da entre los jóvenes de 16 a 19 años</w:t>
      </w:r>
      <w:r w:rsidRPr="00551825">
        <w:rPr>
          <w:rFonts w:cs="Arial"/>
          <w:sz w:val="19"/>
          <w:szCs w:val="19"/>
        </w:rPr>
        <w:t xml:space="preserve"> (62,6</w:t>
      </w:r>
      <w:r w:rsidR="000075FF">
        <w:rPr>
          <w:rFonts w:cs="Arial"/>
          <w:sz w:val="19"/>
          <w:szCs w:val="19"/>
        </w:rPr>
        <w:t>%</w:t>
      </w:r>
      <w:r w:rsidRPr="00551825">
        <w:rPr>
          <w:rFonts w:cs="Arial"/>
          <w:sz w:val="19"/>
          <w:szCs w:val="19"/>
        </w:rPr>
        <w:t>)</w:t>
      </w:r>
      <w:r w:rsidR="00AC5DDB" w:rsidRPr="00551825">
        <w:rPr>
          <w:rFonts w:cs="Arial"/>
          <w:sz w:val="19"/>
          <w:szCs w:val="19"/>
        </w:rPr>
        <w:t>. A este colectivo le sigue el de personas entre 20 y 24 años (42,5%), el grupo de edad entre los 25 y 29 años (26,1%) y el de 30 a 34 años (21,4%), todos ellos por e</w:t>
      </w:r>
      <w:r w:rsidR="0027643E">
        <w:rPr>
          <w:rFonts w:cs="Arial"/>
          <w:sz w:val="19"/>
          <w:szCs w:val="19"/>
        </w:rPr>
        <w:t>ncima de la media nacional (20,</w:t>
      </w:r>
      <w:r w:rsidR="00AC5DDB" w:rsidRPr="00551825">
        <w:rPr>
          <w:rFonts w:cs="Arial"/>
          <w:sz w:val="19"/>
          <w:szCs w:val="19"/>
        </w:rPr>
        <w:t>9%).</w:t>
      </w:r>
    </w:p>
    <w:p w:rsidR="00AC5DDB" w:rsidRPr="00551825" w:rsidRDefault="00AC5DDB" w:rsidP="00C03818">
      <w:pPr>
        <w:ind w:right="-81"/>
        <w:jc w:val="both"/>
        <w:rPr>
          <w:rFonts w:cs="Arial"/>
          <w:sz w:val="12"/>
          <w:szCs w:val="12"/>
        </w:rPr>
      </w:pPr>
    </w:p>
    <w:p w:rsidR="00AC5DDB" w:rsidRPr="00551825" w:rsidRDefault="00AC5DDB" w:rsidP="00C03818">
      <w:pPr>
        <w:ind w:right="-81"/>
        <w:jc w:val="both"/>
        <w:rPr>
          <w:rFonts w:cs="Arial"/>
          <w:sz w:val="19"/>
          <w:szCs w:val="19"/>
        </w:rPr>
      </w:pPr>
      <w:r w:rsidRPr="00551825">
        <w:rPr>
          <w:rFonts w:cs="Arial"/>
          <w:sz w:val="19"/>
          <w:szCs w:val="19"/>
        </w:rPr>
        <w:t>A medida que nos acercamos  a colectivos con rangos de edad superiores, la tasa de paro tiende a disminuir, siendo inferior al 15% para los mayores de 54 años.</w:t>
      </w:r>
    </w:p>
    <w:p w:rsidR="00AC5DDB" w:rsidRPr="00551825" w:rsidRDefault="00AC5DDB" w:rsidP="00C03818">
      <w:pPr>
        <w:ind w:right="-81"/>
        <w:jc w:val="both"/>
        <w:rPr>
          <w:rFonts w:cs="Arial"/>
          <w:sz w:val="14"/>
          <w:szCs w:val="14"/>
        </w:rPr>
      </w:pPr>
    </w:p>
    <w:p w:rsidR="00790DA3" w:rsidRDefault="00AC5DDB" w:rsidP="00790DA3">
      <w:pPr>
        <w:ind w:right="-81"/>
        <w:jc w:val="both"/>
        <w:rPr>
          <w:rFonts w:cs="Arial"/>
          <w:b/>
          <w:color w:val="000080"/>
          <w:sz w:val="19"/>
          <w:szCs w:val="19"/>
          <w:u w:val="single"/>
        </w:rPr>
      </w:pPr>
      <w:r w:rsidRPr="00551825">
        <w:rPr>
          <w:rFonts w:cs="Arial"/>
          <w:b/>
          <w:color w:val="000080"/>
          <w:sz w:val="19"/>
          <w:szCs w:val="19"/>
          <w:u w:val="single"/>
        </w:rPr>
        <w:t>Las actividades orientadas hacia el exterior han conseguido neutralizar el deterioro de la ocupación en sectores orientados a la demanda interna</w:t>
      </w:r>
    </w:p>
    <w:p w:rsidR="00A80245" w:rsidRPr="00A80245" w:rsidRDefault="00A80245" w:rsidP="00790DA3">
      <w:pPr>
        <w:ind w:right="-81"/>
        <w:jc w:val="both"/>
        <w:rPr>
          <w:rFonts w:cs="Arial"/>
          <w:b/>
          <w:sz w:val="12"/>
          <w:szCs w:val="12"/>
        </w:rPr>
      </w:pPr>
    </w:p>
    <w:p w:rsidR="00790DA3" w:rsidRDefault="00036227" w:rsidP="00790DA3">
      <w:pPr>
        <w:ind w:right="-81"/>
        <w:jc w:val="both"/>
        <w:rPr>
          <w:rFonts w:cs="Arial"/>
          <w:sz w:val="19"/>
          <w:szCs w:val="19"/>
        </w:rPr>
      </w:pPr>
      <w:r w:rsidRPr="00EA4910">
        <w:rPr>
          <w:rFonts w:cs="Arial"/>
          <w:b/>
          <w:sz w:val="19"/>
          <w:szCs w:val="19"/>
        </w:rPr>
        <w:t>La mejora en el sector servicios tiene mucho que ver con el comportamiento de las administraciones públicas y con aquellos sectores más directamente vinculados a la demanda externa turística</w:t>
      </w:r>
      <w:r w:rsidRPr="00551825">
        <w:rPr>
          <w:rFonts w:cs="Arial"/>
          <w:sz w:val="19"/>
          <w:szCs w:val="19"/>
        </w:rPr>
        <w:t xml:space="preserve">. </w:t>
      </w:r>
      <w:r w:rsidRPr="00EA4910">
        <w:rPr>
          <w:rFonts w:cs="Arial"/>
          <w:b/>
          <w:sz w:val="19"/>
          <w:szCs w:val="19"/>
        </w:rPr>
        <w:t>La ocupación en las Administraciones</w:t>
      </w:r>
      <w:r w:rsidRPr="00551825">
        <w:rPr>
          <w:rFonts w:cs="Arial"/>
          <w:sz w:val="19"/>
          <w:szCs w:val="19"/>
        </w:rPr>
        <w:t xml:space="preserve"> Públicas se incrementaba interanualmente en más de 62 mil personas, lo que supone una tasa de </w:t>
      </w:r>
      <w:r w:rsidRPr="00EA4910">
        <w:rPr>
          <w:rFonts w:cs="Arial"/>
          <w:b/>
          <w:sz w:val="19"/>
          <w:szCs w:val="19"/>
        </w:rPr>
        <w:t>variación positiva del 4,5%, a pesar de los problemas de reducción en el déficit público a los que se enfrentan las administraciones</w:t>
      </w:r>
      <w:r w:rsidRPr="00551825">
        <w:rPr>
          <w:rFonts w:cs="Arial"/>
          <w:sz w:val="19"/>
          <w:szCs w:val="19"/>
        </w:rPr>
        <w:t xml:space="preserve">. La hostelería y el comercio aumentan, por su parte, en 36 mil y 60 mil ocupados, lo que suponen tasas del 2,6% y el 2,1%, respectivamente. Dentro del primero, destaca el </w:t>
      </w:r>
      <w:r w:rsidRPr="00FE4555">
        <w:rPr>
          <w:rFonts w:cs="Arial"/>
          <w:b/>
          <w:sz w:val="19"/>
          <w:szCs w:val="19"/>
        </w:rPr>
        <w:t>comportamiento positivo de los servicios de alojamiento, sobre los cuales recae el efecto positivo de la mayor llegada de turistas extranjeros, y que contrasta con los resultados de la rama de restauración, dañada por el recorte de gasto de las familias españolas ante la actual situación económica</w:t>
      </w:r>
      <w:r w:rsidRPr="00551825">
        <w:rPr>
          <w:rFonts w:cs="Arial"/>
          <w:sz w:val="19"/>
          <w:szCs w:val="19"/>
        </w:rPr>
        <w:t>. Dentro de la rama de comercio, es especialmente la subrama de comercio al por mayor la que crece con mayor intensidad, y ha permitido compensar las caídas en la subrama asociada a la venta de automóviles.</w:t>
      </w:r>
    </w:p>
    <w:p w:rsidR="00790DA3" w:rsidRPr="00A80245" w:rsidRDefault="00790DA3" w:rsidP="00790DA3">
      <w:pPr>
        <w:ind w:right="-81"/>
        <w:jc w:val="both"/>
        <w:rPr>
          <w:rFonts w:cs="Arial"/>
          <w:sz w:val="12"/>
          <w:szCs w:val="12"/>
        </w:rPr>
      </w:pPr>
    </w:p>
    <w:p w:rsidR="00790DA3" w:rsidRDefault="00036227" w:rsidP="00790DA3">
      <w:pPr>
        <w:ind w:right="-81"/>
        <w:jc w:val="both"/>
        <w:rPr>
          <w:rFonts w:cs="Arial"/>
          <w:sz w:val="19"/>
          <w:szCs w:val="19"/>
        </w:rPr>
      </w:pPr>
      <w:r w:rsidRPr="00FE4555">
        <w:rPr>
          <w:rFonts w:cs="Arial"/>
          <w:b/>
          <w:sz w:val="19"/>
          <w:szCs w:val="19"/>
        </w:rPr>
        <w:t>Por el lado negativo, la construcción</w:t>
      </w:r>
      <w:r w:rsidRPr="00551825">
        <w:rPr>
          <w:rFonts w:cs="Arial"/>
          <w:sz w:val="19"/>
          <w:szCs w:val="19"/>
        </w:rPr>
        <w:t xml:space="preserve">, con un retroceso de cerca de 270 mil ocupados se sitúa en una tasa de variación interanual del -15,9%, con una caída especialmente intensa, del 22,4%, en la subrama de construcción de edificios, por los problemas inmobiliarios. Adicionalmente, </w:t>
      </w:r>
      <w:r w:rsidRPr="00FE4555">
        <w:rPr>
          <w:rFonts w:cs="Arial"/>
          <w:b/>
          <w:sz w:val="19"/>
          <w:szCs w:val="19"/>
        </w:rPr>
        <w:t>se observan las dificultades aún existentes en el sector industrial</w:t>
      </w:r>
      <w:r w:rsidRPr="00551825">
        <w:rPr>
          <w:rFonts w:cs="Arial"/>
          <w:sz w:val="19"/>
          <w:szCs w:val="19"/>
        </w:rPr>
        <w:t xml:space="preserve">, particularmente en sectores asociadas a la actividad interna, como la metalurgia o la fabricación de productos de caucho y plástico, </w:t>
      </w:r>
      <w:r w:rsidRPr="00FE4555">
        <w:rPr>
          <w:rFonts w:cs="Arial"/>
          <w:b/>
          <w:sz w:val="19"/>
          <w:szCs w:val="19"/>
        </w:rPr>
        <w:t>y la destrucción de ocupación en algunos sectores de servicios como el de actividades profesionales o el de actividades financieras, este último muy afectado por las reestructuraciones que se están llevando a cabo en el sector financiero</w:t>
      </w:r>
      <w:r w:rsidRPr="00551825">
        <w:rPr>
          <w:rFonts w:cs="Arial"/>
          <w:sz w:val="19"/>
          <w:szCs w:val="19"/>
        </w:rPr>
        <w:t>. Dentro de la rama de servicios de transporte se vuelve a observar la doble dicotomía de un sector aéreo en el que se incrementa la ocupación y un transporte terrestre con fuertes caídas tanto por una actividad estancada en España como por el aumento de los precios de los carburantes en la primera mitad del año.</w:t>
      </w:r>
    </w:p>
    <w:p w:rsidR="00790DA3" w:rsidRPr="00A80245" w:rsidRDefault="00790DA3" w:rsidP="00790DA3">
      <w:pPr>
        <w:ind w:right="-81"/>
        <w:jc w:val="both"/>
        <w:rPr>
          <w:rFonts w:cs="Arial"/>
          <w:sz w:val="12"/>
          <w:szCs w:val="12"/>
        </w:rPr>
      </w:pPr>
    </w:p>
    <w:p w:rsidR="00790DA3" w:rsidRPr="00A80245" w:rsidRDefault="00790DA3" w:rsidP="00790DA3">
      <w:pPr>
        <w:ind w:right="-81"/>
        <w:jc w:val="both"/>
        <w:rPr>
          <w:rFonts w:cs="Arial"/>
          <w:color w:val="0000FF"/>
          <w:sz w:val="19"/>
          <w:szCs w:val="19"/>
        </w:rPr>
      </w:pPr>
      <w:r w:rsidRPr="00A80245">
        <w:rPr>
          <w:rFonts w:cs="Arial"/>
          <w:color w:val="0000FF"/>
          <w:sz w:val="19"/>
          <w:szCs w:val="19"/>
        </w:rPr>
        <w:t>AGETT destaca que “</w:t>
      </w:r>
      <w:r w:rsidRPr="00A80245">
        <w:rPr>
          <w:rFonts w:cs="Arial"/>
          <w:i/>
          <w:color w:val="0000FF"/>
          <w:sz w:val="19"/>
          <w:szCs w:val="19"/>
        </w:rPr>
        <w:t>en los próximos meses será inevitable un nuevo ajuste en el empleo de las AAPP y el sector financiero, por lo que hay que compensar las futuras pérdidas de ocupación en estos sectores con el impulso de aquellos sectores más competitivos, los orientados al exterior así como recuperar, de una vez por todas</w:t>
      </w:r>
      <w:r w:rsidR="005A0504">
        <w:rPr>
          <w:rFonts w:cs="Arial"/>
          <w:i/>
          <w:color w:val="0000FF"/>
          <w:sz w:val="19"/>
          <w:szCs w:val="19"/>
        </w:rPr>
        <w:t>,</w:t>
      </w:r>
      <w:r w:rsidRPr="00A80245">
        <w:rPr>
          <w:rFonts w:cs="Arial"/>
          <w:i/>
          <w:color w:val="0000FF"/>
          <w:sz w:val="19"/>
          <w:szCs w:val="19"/>
        </w:rPr>
        <w:t xml:space="preserve"> la demanda interna que tan deteriorada está en estos momentos</w:t>
      </w:r>
      <w:r w:rsidRPr="00A80245">
        <w:rPr>
          <w:rFonts w:cs="Arial"/>
          <w:color w:val="0000FF"/>
          <w:sz w:val="19"/>
          <w:szCs w:val="19"/>
        </w:rPr>
        <w:t>”</w:t>
      </w:r>
      <w:r w:rsidR="004321CD">
        <w:rPr>
          <w:rFonts w:cs="Arial"/>
          <w:color w:val="0000FF"/>
          <w:sz w:val="19"/>
          <w:szCs w:val="19"/>
        </w:rPr>
        <w:t>.</w:t>
      </w:r>
    </w:p>
    <w:p w:rsidR="00036227" w:rsidRPr="00551825" w:rsidRDefault="00BC2466" w:rsidP="00036227">
      <w:pPr>
        <w:keepNext/>
        <w:jc w:val="both"/>
        <w:rPr>
          <w:rFonts w:cs="Arial"/>
          <w:b/>
          <w:color w:val="000080"/>
          <w:sz w:val="19"/>
          <w:szCs w:val="19"/>
          <w:u w:val="single"/>
        </w:rPr>
      </w:pPr>
      <w:r w:rsidRPr="00551825">
        <w:rPr>
          <w:rFonts w:cs="Arial"/>
          <w:b/>
          <w:color w:val="000080"/>
          <w:sz w:val="19"/>
          <w:szCs w:val="19"/>
          <w:u w:val="single"/>
        </w:rPr>
        <w:lastRenderedPageBreak/>
        <w:t xml:space="preserve">Madrid y Cataluña, con mínimas variaciones negativas de ocupación neutralizan los malos resultados de la mayoría de CCAA, debido a su mayor peso relativo </w:t>
      </w:r>
    </w:p>
    <w:p w:rsidR="001E2F41" w:rsidRPr="00551825" w:rsidRDefault="001E2F41" w:rsidP="00036227">
      <w:pPr>
        <w:keepNext/>
        <w:jc w:val="both"/>
        <w:rPr>
          <w:sz w:val="12"/>
          <w:szCs w:val="12"/>
        </w:rPr>
      </w:pPr>
    </w:p>
    <w:p w:rsidR="001E2F41" w:rsidRPr="00551825" w:rsidRDefault="001E2F41" w:rsidP="00036227">
      <w:pPr>
        <w:keepNext/>
        <w:jc w:val="both"/>
        <w:rPr>
          <w:rFonts w:cs="Arial"/>
          <w:sz w:val="19"/>
          <w:szCs w:val="19"/>
        </w:rPr>
      </w:pPr>
      <w:r w:rsidRPr="00551825">
        <w:rPr>
          <w:rFonts w:cs="Arial"/>
          <w:sz w:val="19"/>
          <w:szCs w:val="19"/>
        </w:rPr>
        <w:t xml:space="preserve">Aunque se está observando una mejoría en la ocupación a nivel global de España, situándose en tasas de destrucción por debajo del 1%, resalta la amplia disparidad de comportamientos regionales en este 2011. </w:t>
      </w:r>
      <w:r w:rsidRPr="002D178B">
        <w:rPr>
          <w:rFonts w:cs="Arial"/>
          <w:b/>
          <w:sz w:val="19"/>
          <w:szCs w:val="19"/>
        </w:rPr>
        <w:t>Se pueden así señalar regiones que están más próximas a cambiar sus tendencias de destrucción de empleo, y otras, donde la destrucción incluso se está intensificando, dependiendo las situaciones concretas de la especializaci</w:t>
      </w:r>
      <w:r w:rsidR="000F3C67" w:rsidRPr="002D178B">
        <w:rPr>
          <w:rFonts w:cs="Arial"/>
          <w:b/>
          <w:sz w:val="19"/>
          <w:szCs w:val="19"/>
        </w:rPr>
        <w:t>ón sectorial por ramas en cada c</w:t>
      </w:r>
      <w:r w:rsidRPr="002D178B">
        <w:rPr>
          <w:rFonts w:cs="Arial"/>
          <w:b/>
          <w:sz w:val="19"/>
          <w:szCs w:val="19"/>
        </w:rPr>
        <w:t>omunidad</w:t>
      </w:r>
      <w:r w:rsidR="000F3C67" w:rsidRPr="00551825">
        <w:rPr>
          <w:rFonts w:cs="Arial"/>
          <w:sz w:val="19"/>
          <w:szCs w:val="19"/>
        </w:rPr>
        <w:t>.</w:t>
      </w:r>
    </w:p>
    <w:p w:rsidR="00BC2466" w:rsidRPr="00551825" w:rsidRDefault="00BC2466" w:rsidP="00036227">
      <w:pPr>
        <w:keepNext/>
        <w:jc w:val="both"/>
        <w:rPr>
          <w:rFonts w:cs="Arial"/>
          <w:sz w:val="19"/>
          <w:szCs w:val="19"/>
        </w:rPr>
      </w:pPr>
    </w:p>
    <w:p w:rsidR="001E2F41" w:rsidRPr="00551825" w:rsidRDefault="001E2F41" w:rsidP="001E2F41">
      <w:pPr>
        <w:keepNext/>
        <w:jc w:val="both"/>
        <w:rPr>
          <w:rFonts w:cs="Arial"/>
          <w:sz w:val="19"/>
          <w:szCs w:val="19"/>
        </w:rPr>
      </w:pPr>
      <w:r w:rsidRPr="00551825">
        <w:rPr>
          <w:rFonts w:cs="Arial"/>
          <w:sz w:val="19"/>
          <w:szCs w:val="19"/>
        </w:rPr>
        <w:t xml:space="preserve">El resultado nacional de -0,9% </w:t>
      </w:r>
      <w:r w:rsidR="000F3C67" w:rsidRPr="00551825">
        <w:rPr>
          <w:rFonts w:cs="Arial"/>
          <w:sz w:val="19"/>
          <w:szCs w:val="19"/>
        </w:rPr>
        <w:t xml:space="preserve">en la ocupación, </w:t>
      </w:r>
      <w:r w:rsidRPr="00551825">
        <w:rPr>
          <w:rFonts w:cs="Arial"/>
          <w:sz w:val="19"/>
          <w:szCs w:val="19"/>
        </w:rPr>
        <w:t xml:space="preserve">tiene mucho que ver con </w:t>
      </w:r>
      <w:r w:rsidRPr="002D178B">
        <w:rPr>
          <w:rFonts w:cs="Arial"/>
          <w:b/>
          <w:sz w:val="19"/>
          <w:szCs w:val="19"/>
        </w:rPr>
        <w:t>la mejora en los resultados de las comunidades de Madrid y Cataluña</w:t>
      </w:r>
      <w:r w:rsidRPr="00551825">
        <w:rPr>
          <w:rFonts w:cs="Arial"/>
          <w:sz w:val="19"/>
          <w:szCs w:val="19"/>
        </w:rPr>
        <w:t xml:space="preserve">, que se han situado en una variación negativa de la ocupación de sólo el -0,1% y -0,2%, y </w:t>
      </w:r>
      <w:r w:rsidRPr="002D178B">
        <w:rPr>
          <w:rFonts w:cs="Arial"/>
          <w:b/>
          <w:sz w:val="19"/>
          <w:szCs w:val="19"/>
        </w:rPr>
        <w:t>que dado su mayor peso relativo, tienen un impacto muy positivo sobre el índice total</w:t>
      </w:r>
      <w:r w:rsidRPr="00551825">
        <w:rPr>
          <w:rFonts w:cs="Arial"/>
          <w:sz w:val="19"/>
          <w:szCs w:val="19"/>
        </w:rPr>
        <w:t>. Junto a ellas, destaca el crecimiento de Canarias gracias a la dinámica positiva del sector turístico, con un incremento importante de la afluencia de turistas extranjeros.</w:t>
      </w:r>
    </w:p>
    <w:p w:rsidR="000F3C67" w:rsidRPr="00551825" w:rsidRDefault="000F3C67" w:rsidP="001E2F41">
      <w:pPr>
        <w:keepNext/>
        <w:jc w:val="both"/>
        <w:rPr>
          <w:rFonts w:cs="Arial"/>
          <w:sz w:val="19"/>
          <w:szCs w:val="19"/>
        </w:rPr>
      </w:pPr>
    </w:p>
    <w:p w:rsidR="001E2F41" w:rsidRPr="00551825" w:rsidRDefault="001E2F41" w:rsidP="001E2F41">
      <w:pPr>
        <w:keepNext/>
        <w:jc w:val="both"/>
        <w:rPr>
          <w:sz w:val="19"/>
          <w:szCs w:val="19"/>
        </w:rPr>
      </w:pPr>
      <w:r w:rsidRPr="002D178B">
        <w:rPr>
          <w:rFonts w:cs="Arial"/>
          <w:b/>
          <w:sz w:val="19"/>
          <w:szCs w:val="19"/>
        </w:rPr>
        <w:t>Los resultados menos negativos de estas comunidades ocultan el peor comportamiento que se ha observado en la gran mayoría del resto de comunidades</w:t>
      </w:r>
      <w:r w:rsidRPr="00551825">
        <w:rPr>
          <w:rFonts w:cs="Arial"/>
          <w:sz w:val="19"/>
          <w:szCs w:val="19"/>
        </w:rPr>
        <w:t>, donde existen todavía ritmos elevados de destrucción de ocupación. Especialmente malas son las cifras de La Rioja, Murcia, Aragón o Navarra, donde incluso se ha llegado a incrementar las tasas de destrucción del empleo, deteriorándose en algunos casos, como el navarro, las buenas perspectivas tras las cifras que se obtuvieron en 2010</w:t>
      </w:r>
      <w:r w:rsidRPr="00551825">
        <w:rPr>
          <w:sz w:val="19"/>
          <w:szCs w:val="19"/>
        </w:rPr>
        <w:t>.</w:t>
      </w:r>
    </w:p>
    <w:p w:rsidR="000F3C67" w:rsidRPr="0029635B" w:rsidRDefault="000F3C67" w:rsidP="001E2F41">
      <w:pPr>
        <w:keepNext/>
        <w:jc w:val="both"/>
        <w:rPr>
          <w:sz w:val="12"/>
          <w:szCs w:val="12"/>
        </w:rPr>
      </w:pPr>
    </w:p>
    <w:p w:rsidR="0029635B" w:rsidRPr="00A34224" w:rsidRDefault="0029635B" w:rsidP="0029635B">
      <w:pPr>
        <w:keepNext/>
        <w:jc w:val="both"/>
        <w:rPr>
          <w:rFonts w:cs="Arial"/>
          <w:sz w:val="19"/>
          <w:szCs w:val="19"/>
        </w:rPr>
      </w:pPr>
      <w:r w:rsidRPr="00A34224">
        <w:rPr>
          <w:rFonts w:cs="Arial"/>
          <w:b/>
          <w:sz w:val="19"/>
          <w:szCs w:val="19"/>
        </w:rPr>
        <w:t>La especialización sectorial de cada región tiene una enorme influencia en el comportamiento obs</w:t>
      </w:r>
      <w:r w:rsidR="00450A69">
        <w:rPr>
          <w:rFonts w:cs="Arial"/>
          <w:b/>
          <w:sz w:val="19"/>
          <w:szCs w:val="19"/>
        </w:rPr>
        <w:t>ervado en su mercado de trabajo. Así, la ocupación presenta enormes diferencias entre unas regiones u otras, pese a la ligera caída del 0,9% a nivel global</w:t>
      </w:r>
      <w:r w:rsidRPr="00A34224">
        <w:rPr>
          <w:rFonts w:cs="Arial"/>
          <w:sz w:val="19"/>
          <w:szCs w:val="19"/>
        </w:rPr>
        <w:t>.</w:t>
      </w:r>
    </w:p>
    <w:p w:rsidR="0029635B" w:rsidRPr="00551825" w:rsidRDefault="0029635B" w:rsidP="001E2F41">
      <w:pPr>
        <w:keepNext/>
        <w:jc w:val="both"/>
        <w:rPr>
          <w:sz w:val="14"/>
          <w:szCs w:val="14"/>
        </w:rPr>
      </w:pPr>
    </w:p>
    <w:p w:rsidR="000F3C67" w:rsidRPr="00551825" w:rsidRDefault="000F3C67" w:rsidP="001E2F41">
      <w:pPr>
        <w:keepNext/>
        <w:jc w:val="both"/>
        <w:rPr>
          <w:rFonts w:cs="Arial"/>
          <w:b/>
          <w:color w:val="000080"/>
          <w:sz w:val="19"/>
          <w:szCs w:val="19"/>
          <w:u w:val="single"/>
        </w:rPr>
      </w:pPr>
      <w:r w:rsidRPr="00551825">
        <w:rPr>
          <w:rFonts w:cs="Arial"/>
          <w:b/>
          <w:color w:val="000080"/>
          <w:sz w:val="19"/>
          <w:szCs w:val="19"/>
          <w:u w:val="single"/>
        </w:rPr>
        <w:t>El sector servicios ha influido positivamente en todas las CCAA salvo en Murcia y Andalucía</w:t>
      </w:r>
    </w:p>
    <w:p w:rsidR="00A34224" w:rsidRPr="00551825" w:rsidRDefault="00A34224" w:rsidP="001E2F41">
      <w:pPr>
        <w:keepNext/>
        <w:jc w:val="both"/>
        <w:rPr>
          <w:rFonts w:cs="Arial"/>
          <w:sz w:val="12"/>
          <w:szCs w:val="12"/>
        </w:rPr>
      </w:pPr>
    </w:p>
    <w:p w:rsidR="00551825" w:rsidRPr="00551825" w:rsidRDefault="00551438" w:rsidP="001E2F41">
      <w:pPr>
        <w:keepNext/>
        <w:jc w:val="both"/>
        <w:rPr>
          <w:rFonts w:cs="Arial"/>
          <w:sz w:val="19"/>
          <w:szCs w:val="19"/>
        </w:rPr>
      </w:pPr>
      <w:r w:rsidRPr="00790DA3">
        <w:rPr>
          <w:rFonts w:cs="Arial"/>
          <w:b/>
          <w:sz w:val="19"/>
          <w:szCs w:val="19"/>
        </w:rPr>
        <w:t>La construcción continúa aumentando sus tasas de variación negativas</w:t>
      </w:r>
      <w:r w:rsidRPr="00551825">
        <w:rPr>
          <w:rFonts w:cs="Arial"/>
          <w:sz w:val="19"/>
          <w:szCs w:val="19"/>
        </w:rPr>
        <w:t xml:space="preserve"> en todas las </w:t>
      </w:r>
      <w:r w:rsidRPr="00790DA3">
        <w:rPr>
          <w:rFonts w:cs="Arial"/>
          <w:b/>
          <w:sz w:val="19"/>
          <w:szCs w:val="19"/>
        </w:rPr>
        <w:t>CCAA salvo en Castilla</w:t>
      </w:r>
      <w:r w:rsidR="000942A9">
        <w:rPr>
          <w:rFonts w:cs="Arial"/>
          <w:b/>
          <w:sz w:val="19"/>
          <w:szCs w:val="19"/>
        </w:rPr>
        <w:t>-</w:t>
      </w:r>
      <w:bookmarkStart w:id="0" w:name="_GoBack"/>
      <w:bookmarkEnd w:id="0"/>
      <w:r w:rsidRPr="00790DA3">
        <w:rPr>
          <w:rFonts w:cs="Arial"/>
          <w:b/>
          <w:sz w:val="19"/>
          <w:szCs w:val="19"/>
        </w:rPr>
        <w:t>La Mancha, Cataluña, Madrid y La Rioja</w:t>
      </w:r>
      <w:r w:rsidRPr="00551825">
        <w:rPr>
          <w:rFonts w:cs="Arial"/>
          <w:sz w:val="19"/>
          <w:szCs w:val="19"/>
        </w:rPr>
        <w:t>, donde sus caídas en la ocupación han sido menores que en el mismo periodo del año anterior.  Especialmente dañinos, tanto por el mayor peso relativo que tenía el sector, como por su variación anual, son los resultados obtenidos en Murcia, Baleares, Aragón o Canarias, reduciéndose en algunas de ellas hasta 3 puntos porcentuales el peso del sector en su economía.</w:t>
      </w:r>
    </w:p>
    <w:p w:rsidR="00551825" w:rsidRPr="00551825" w:rsidRDefault="00551825" w:rsidP="001E2F41">
      <w:pPr>
        <w:keepNext/>
        <w:jc w:val="both"/>
        <w:rPr>
          <w:rFonts w:cs="Arial"/>
          <w:sz w:val="12"/>
          <w:szCs w:val="12"/>
        </w:rPr>
      </w:pPr>
    </w:p>
    <w:p w:rsidR="00551438" w:rsidRPr="00551438" w:rsidRDefault="00551438" w:rsidP="001E2F41">
      <w:pPr>
        <w:keepNext/>
        <w:jc w:val="both"/>
        <w:rPr>
          <w:rFonts w:cs="Arial"/>
          <w:b/>
          <w:color w:val="000080"/>
          <w:sz w:val="12"/>
          <w:szCs w:val="12"/>
          <w:u w:val="single"/>
        </w:rPr>
      </w:pPr>
      <w:r w:rsidRPr="00A80245">
        <w:rPr>
          <w:rFonts w:cs="Arial"/>
          <w:b/>
          <w:sz w:val="19"/>
          <w:szCs w:val="19"/>
        </w:rPr>
        <w:t>Los servicios han contribuido positivamente a la ocupación en prácticamente todas las regiones</w:t>
      </w:r>
      <w:r w:rsidRPr="00551825">
        <w:rPr>
          <w:rFonts w:cs="Arial"/>
          <w:sz w:val="19"/>
          <w:szCs w:val="19"/>
        </w:rPr>
        <w:t xml:space="preserve">, destacando positivamente Canarias, Cataluña, Castilla – La Mancha y Baleares. </w:t>
      </w:r>
      <w:r w:rsidRPr="00A80245">
        <w:rPr>
          <w:rFonts w:cs="Arial"/>
          <w:b/>
          <w:sz w:val="19"/>
          <w:szCs w:val="19"/>
        </w:rPr>
        <w:t>En el lado negativo, nos encontramos a Andalucía y Murcia,</w:t>
      </w:r>
      <w:r w:rsidRPr="00551825">
        <w:rPr>
          <w:rFonts w:cs="Arial"/>
          <w:sz w:val="19"/>
          <w:szCs w:val="19"/>
        </w:rPr>
        <w:t xml:space="preserve"> que aún mantienen destrucciones netas de ocupación en el sector. </w:t>
      </w:r>
      <w:r w:rsidRPr="00A80245">
        <w:rPr>
          <w:rFonts w:cs="Arial"/>
          <w:b/>
          <w:sz w:val="19"/>
          <w:szCs w:val="19"/>
        </w:rPr>
        <w:t xml:space="preserve">Los resultados de la industria, en términos de ritmos de variación interanual de la ocupación, también han mejorado </w:t>
      </w:r>
      <w:r w:rsidRPr="00A34224">
        <w:rPr>
          <w:rFonts w:cs="Arial"/>
          <w:sz w:val="19"/>
          <w:szCs w:val="19"/>
        </w:rPr>
        <w:t xml:space="preserve">con respecto a los del año pasado para la gran mayoría de comunidades, aunque tan sólo </w:t>
      </w:r>
      <w:r w:rsidR="00A80245" w:rsidRPr="00A34224">
        <w:rPr>
          <w:rFonts w:cs="Arial"/>
          <w:sz w:val="19"/>
          <w:szCs w:val="19"/>
        </w:rPr>
        <w:t>cuatro</w:t>
      </w:r>
      <w:r w:rsidRPr="00A34224">
        <w:rPr>
          <w:rFonts w:cs="Arial"/>
          <w:sz w:val="19"/>
          <w:szCs w:val="19"/>
        </w:rPr>
        <w:t xml:space="preserve"> han conseguido situarse en terreno positivo: Comunidad Valenciana, Aragón, Cantabria, Castilla – La Mancha y La Rioja.</w:t>
      </w:r>
      <w:r w:rsidRPr="00551825">
        <w:rPr>
          <w:rFonts w:cs="Arial"/>
          <w:sz w:val="19"/>
          <w:szCs w:val="19"/>
        </w:rPr>
        <w:t xml:space="preserve"> </w:t>
      </w:r>
    </w:p>
    <w:p w:rsidR="00C03818" w:rsidRDefault="00C03818" w:rsidP="00C03818">
      <w:pPr>
        <w:pStyle w:val="Sangradetextonormal"/>
        <w:ind w:left="0"/>
        <w:jc w:val="center"/>
        <w:rPr>
          <w:i/>
          <w:color w:val="CC0000"/>
          <w:sz w:val="12"/>
          <w:szCs w:val="12"/>
          <w:u w:val="single"/>
        </w:rPr>
      </w:pPr>
    </w:p>
    <w:p w:rsidR="00C03818" w:rsidRPr="00303519" w:rsidRDefault="00C03818" w:rsidP="00C03818">
      <w:pPr>
        <w:pStyle w:val="Sangradetextonormal"/>
        <w:ind w:left="0"/>
        <w:jc w:val="center"/>
        <w:rPr>
          <w:i/>
          <w:color w:val="CC0000"/>
          <w:sz w:val="12"/>
          <w:szCs w:val="12"/>
          <w:u w:val="single"/>
        </w:rPr>
      </w:pPr>
    </w:p>
    <w:p w:rsidR="00C03818" w:rsidRPr="00551825" w:rsidRDefault="00C03818" w:rsidP="00C03818">
      <w:pPr>
        <w:pStyle w:val="Sangradetextonormal"/>
        <w:ind w:left="0"/>
        <w:jc w:val="center"/>
        <w:rPr>
          <w:i/>
          <w:color w:val="CC0000"/>
          <w:sz w:val="19"/>
          <w:szCs w:val="19"/>
          <w:u w:val="single"/>
        </w:rPr>
      </w:pPr>
      <w:r w:rsidRPr="00551825">
        <w:rPr>
          <w:i/>
          <w:color w:val="CC0000"/>
          <w:sz w:val="19"/>
          <w:szCs w:val="19"/>
          <w:u w:val="single"/>
        </w:rPr>
        <w:t xml:space="preserve">Destacado del mes, por José Antonio </w:t>
      </w:r>
      <w:proofErr w:type="spellStart"/>
      <w:r w:rsidRPr="00551825">
        <w:rPr>
          <w:i/>
          <w:color w:val="CC0000"/>
          <w:sz w:val="19"/>
          <w:szCs w:val="19"/>
          <w:u w:val="single"/>
        </w:rPr>
        <w:t>Herce</w:t>
      </w:r>
      <w:proofErr w:type="spellEnd"/>
      <w:r w:rsidRPr="00551825">
        <w:rPr>
          <w:i/>
          <w:color w:val="CC0000"/>
          <w:sz w:val="19"/>
          <w:szCs w:val="19"/>
          <w:u w:val="single"/>
        </w:rPr>
        <w:t xml:space="preserve">, Socio de </w:t>
      </w:r>
      <w:proofErr w:type="spellStart"/>
      <w:r w:rsidRPr="00551825">
        <w:rPr>
          <w:i/>
          <w:color w:val="CC0000"/>
          <w:sz w:val="19"/>
          <w:szCs w:val="19"/>
          <w:u w:val="single"/>
        </w:rPr>
        <w:t>Afi</w:t>
      </w:r>
      <w:proofErr w:type="spellEnd"/>
    </w:p>
    <w:p w:rsidR="00C03818" w:rsidRPr="00790DA3" w:rsidRDefault="00C03818" w:rsidP="00C03818">
      <w:pPr>
        <w:pStyle w:val="Sangradetextonormal"/>
        <w:ind w:left="0"/>
        <w:jc w:val="center"/>
        <w:rPr>
          <w:b w:val="0"/>
          <w:color w:val="CC0000"/>
          <w:sz w:val="12"/>
          <w:szCs w:val="12"/>
        </w:rPr>
      </w:pPr>
    </w:p>
    <w:p w:rsidR="00C03818" w:rsidRPr="00551825" w:rsidRDefault="00C03818" w:rsidP="00C03818">
      <w:pPr>
        <w:pStyle w:val="Sangradetextonormal"/>
        <w:ind w:left="0"/>
        <w:jc w:val="center"/>
        <w:rPr>
          <w:color w:val="CC0000"/>
          <w:sz w:val="19"/>
          <w:szCs w:val="19"/>
        </w:rPr>
      </w:pPr>
      <w:r w:rsidRPr="00551825">
        <w:rPr>
          <w:color w:val="CC0000"/>
          <w:sz w:val="19"/>
          <w:szCs w:val="19"/>
        </w:rPr>
        <w:t xml:space="preserve">La </w:t>
      </w:r>
      <w:r w:rsidR="00C84EF9" w:rsidRPr="00551825">
        <w:rPr>
          <w:color w:val="CC0000"/>
          <w:sz w:val="19"/>
          <w:szCs w:val="19"/>
        </w:rPr>
        <w:t>clave de bóveda de la confianza</w:t>
      </w:r>
    </w:p>
    <w:p w:rsidR="00C03818" w:rsidRPr="00790DA3" w:rsidRDefault="00C03818" w:rsidP="00C03818">
      <w:pPr>
        <w:pStyle w:val="Sangradetextonormal"/>
        <w:ind w:left="0"/>
        <w:jc w:val="center"/>
        <w:rPr>
          <w:i/>
          <w:color w:val="CC0000"/>
          <w:sz w:val="12"/>
          <w:szCs w:val="12"/>
          <w:u w:val="single"/>
        </w:rPr>
      </w:pPr>
    </w:p>
    <w:p w:rsidR="00C03818" w:rsidRPr="00790DA3" w:rsidRDefault="00C03818" w:rsidP="00C03818">
      <w:pPr>
        <w:autoSpaceDE w:val="0"/>
        <w:autoSpaceDN w:val="0"/>
        <w:adjustRightInd w:val="0"/>
        <w:jc w:val="both"/>
        <w:rPr>
          <w:rFonts w:cs="ArialMT-Bold"/>
          <w:b/>
          <w:bCs/>
          <w:i/>
          <w:color w:val="231F20"/>
          <w:sz w:val="18"/>
          <w:szCs w:val="18"/>
        </w:rPr>
      </w:pPr>
      <w:r w:rsidRPr="00790DA3">
        <w:rPr>
          <w:rFonts w:cs="Arial"/>
          <w:b/>
          <w:bCs/>
          <w:i/>
          <w:sz w:val="18"/>
          <w:szCs w:val="18"/>
        </w:rPr>
        <w:t>“</w:t>
      </w:r>
      <w:r w:rsidRPr="00790DA3">
        <w:rPr>
          <w:b/>
          <w:i/>
          <w:sz w:val="18"/>
          <w:szCs w:val="18"/>
        </w:rPr>
        <w:t>…</w:t>
      </w:r>
      <w:r w:rsidR="00036227" w:rsidRPr="00790DA3">
        <w:rPr>
          <w:i/>
          <w:sz w:val="18"/>
          <w:szCs w:val="18"/>
        </w:rPr>
        <w:t>La</w:t>
      </w:r>
      <w:r w:rsidR="007A1985" w:rsidRPr="00790DA3">
        <w:rPr>
          <w:i/>
          <w:sz w:val="18"/>
          <w:szCs w:val="18"/>
        </w:rPr>
        <w:t xml:space="preserve"> tasa de desempleo se situará alrededor del 21% en este 2011. En agosto se acaba la racha estacional favorable y a los próximos meses se les añadirán además los ajustes laborales en la AAPP y el sector financiero, que no se pueden retrasar más</w:t>
      </w:r>
      <w:r w:rsidRPr="00790DA3">
        <w:rPr>
          <w:rFonts w:eastAsia="Calibri"/>
          <w:i/>
          <w:sz w:val="18"/>
          <w:szCs w:val="18"/>
          <w:lang w:eastAsia="en-US"/>
        </w:rPr>
        <w:t>.</w:t>
      </w:r>
      <w:r w:rsidR="007A1985" w:rsidRPr="00790DA3">
        <w:rPr>
          <w:rFonts w:eastAsia="Calibri"/>
          <w:i/>
          <w:sz w:val="18"/>
          <w:szCs w:val="18"/>
          <w:lang w:eastAsia="en-US"/>
        </w:rPr>
        <w:t xml:space="preserve"> </w:t>
      </w:r>
      <w:r w:rsidR="007A1985" w:rsidRPr="00790DA3">
        <w:rPr>
          <w:i/>
          <w:sz w:val="18"/>
          <w:szCs w:val="18"/>
        </w:rPr>
        <w:t>Desgraciadamente, no es el desempleo el único frente de lucha contra la desconfianza doméstica y exterior que atenaza las posibilidades de la economía española. Las reformas estructurales del mercado de trabajo no surtirán efecto hasta que la demanda y el crédito vuelvan a las empresas y éstas puedan volver a contratar en las nuevas condiciones</w:t>
      </w:r>
      <w:r w:rsidRPr="00790DA3">
        <w:rPr>
          <w:rFonts w:eastAsia="Calibri"/>
          <w:sz w:val="18"/>
          <w:szCs w:val="18"/>
          <w:lang w:eastAsia="en-US"/>
        </w:rPr>
        <w:t>.</w:t>
      </w:r>
      <w:r w:rsidRPr="00790DA3">
        <w:rPr>
          <w:i/>
          <w:sz w:val="18"/>
          <w:szCs w:val="18"/>
        </w:rPr>
        <w:t>...</w:t>
      </w:r>
      <w:r w:rsidRPr="00790DA3">
        <w:rPr>
          <w:b/>
          <w:i/>
          <w:sz w:val="18"/>
          <w:szCs w:val="18"/>
        </w:rPr>
        <w:t>”</w:t>
      </w:r>
    </w:p>
    <w:p w:rsidR="00A80245" w:rsidRDefault="00A80245" w:rsidP="00C03818">
      <w:pPr>
        <w:autoSpaceDE w:val="0"/>
        <w:autoSpaceDN w:val="0"/>
        <w:adjustRightInd w:val="0"/>
        <w:ind w:right="279"/>
        <w:rPr>
          <w:rFonts w:cs="Arial"/>
          <w:b/>
          <w:bCs/>
          <w:color w:val="999999"/>
          <w:sz w:val="19"/>
          <w:szCs w:val="19"/>
          <w:u w:val="single"/>
        </w:rPr>
      </w:pPr>
    </w:p>
    <w:p w:rsidR="00C03818" w:rsidRPr="00A80245" w:rsidRDefault="00C03818" w:rsidP="00C03818">
      <w:pPr>
        <w:autoSpaceDE w:val="0"/>
        <w:autoSpaceDN w:val="0"/>
        <w:adjustRightInd w:val="0"/>
        <w:ind w:right="279"/>
        <w:rPr>
          <w:rFonts w:cs="Arial"/>
          <w:b/>
          <w:bCs/>
          <w:color w:val="999999"/>
          <w:sz w:val="19"/>
          <w:szCs w:val="19"/>
          <w:u w:val="single"/>
        </w:rPr>
      </w:pPr>
      <w:r w:rsidRPr="00790DA3">
        <w:rPr>
          <w:rFonts w:cs="Arial"/>
          <w:b/>
          <w:bCs/>
          <w:color w:val="BFBFBF" w:themeColor="background1" w:themeShade="BF"/>
          <w:sz w:val="17"/>
          <w:szCs w:val="17"/>
          <w:u w:val="single"/>
        </w:rPr>
        <w:t>Para más información:</w:t>
      </w:r>
    </w:p>
    <w:p w:rsidR="00C03818" w:rsidRPr="00790DA3" w:rsidRDefault="00C03818" w:rsidP="00C03818">
      <w:pPr>
        <w:autoSpaceDE w:val="0"/>
        <w:autoSpaceDN w:val="0"/>
        <w:adjustRightInd w:val="0"/>
        <w:ind w:right="279"/>
        <w:rPr>
          <w:rFonts w:cs="Arial"/>
          <w:b/>
          <w:color w:val="BFBFBF" w:themeColor="background1" w:themeShade="BF"/>
          <w:sz w:val="17"/>
          <w:szCs w:val="17"/>
        </w:rPr>
      </w:pPr>
      <w:r w:rsidRPr="00790DA3">
        <w:rPr>
          <w:rFonts w:cs="Arial"/>
          <w:b/>
          <w:color w:val="BFBFBF" w:themeColor="background1" w:themeShade="BF"/>
          <w:sz w:val="17"/>
          <w:szCs w:val="17"/>
        </w:rPr>
        <w:t>AGETT</w:t>
      </w:r>
    </w:p>
    <w:p w:rsidR="00C03818" w:rsidRPr="00790DA3" w:rsidRDefault="00C03818" w:rsidP="00C03818">
      <w:pPr>
        <w:autoSpaceDE w:val="0"/>
        <w:autoSpaceDN w:val="0"/>
        <w:adjustRightInd w:val="0"/>
        <w:ind w:right="279"/>
        <w:rPr>
          <w:rFonts w:cs="Arial"/>
          <w:b/>
          <w:bCs/>
          <w:color w:val="BFBFBF" w:themeColor="background1" w:themeShade="BF"/>
          <w:sz w:val="17"/>
          <w:szCs w:val="17"/>
        </w:rPr>
      </w:pPr>
      <w:r w:rsidRPr="00790DA3">
        <w:rPr>
          <w:rFonts w:cs="Arial"/>
          <w:b/>
          <w:color w:val="BFBFBF" w:themeColor="background1" w:themeShade="BF"/>
          <w:sz w:val="17"/>
          <w:szCs w:val="17"/>
        </w:rPr>
        <w:t>Tlf: 91 598 06 74</w:t>
      </w:r>
      <w:r w:rsidRPr="00790DA3">
        <w:rPr>
          <w:rFonts w:cs="Arial"/>
          <w:b/>
          <w:bCs/>
          <w:color w:val="BFBFBF" w:themeColor="background1" w:themeShade="BF"/>
          <w:sz w:val="17"/>
          <w:szCs w:val="17"/>
        </w:rPr>
        <w:t xml:space="preserve"> </w:t>
      </w:r>
    </w:p>
    <w:p w:rsidR="00C03818" w:rsidRPr="00790DA3" w:rsidRDefault="00C03818" w:rsidP="00C03818">
      <w:pPr>
        <w:autoSpaceDE w:val="0"/>
        <w:autoSpaceDN w:val="0"/>
        <w:adjustRightInd w:val="0"/>
        <w:ind w:right="279"/>
        <w:jc w:val="both"/>
        <w:rPr>
          <w:color w:val="BFBFBF" w:themeColor="background1" w:themeShade="BF"/>
          <w:sz w:val="17"/>
          <w:szCs w:val="17"/>
        </w:rPr>
      </w:pPr>
      <w:r w:rsidRPr="00790DA3">
        <w:rPr>
          <w:rFonts w:cs="Arial"/>
          <w:b/>
          <w:bCs/>
          <w:color w:val="BFBFBF" w:themeColor="background1" w:themeShade="BF"/>
          <w:sz w:val="17"/>
          <w:szCs w:val="17"/>
        </w:rPr>
        <w:t>Corportativo.agett@agett.com</w:t>
      </w:r>
    </w:p>
    <w:sectPr w:rsidR="00C03818" w:rsidRPr="00790DA3" w:rsidSect="001A6BE7">
      <w:headerReference w:type="default" r:id="rId8"/>
      <w:footerReference w:type="even" r:id="rId9"/>
      <w:footerReference w:type="default" r:id="rId10"/>
      <w:pgSz w:w="11906" w:h="16838"/>
      <w:pgMar w:top="899" w:right="1466"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5E" w:rsidRDefault="00C6185E">
      <w:r>
        <w:separator/>
      </w:r>
    </w:p>
  </w:endnote>
  <w:endnote w:type="continuationSeparator" w:id="0">
    <w:p w:rsidR="00C6185E" w:rsidRDefault="00C6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E" w:rsidRDefault="00C6185E" w:rsidP="001A6B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185E" w:rsidRDefault="00C6185E" w:rsidP="001A6B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E" w:rsidRPr="0048102B" w:rsidRDefault="00C6185E" w:rsidP="001A6BE7">
    <w:pPr>
      <w:pStyle w:val="Piedepgina"/>
      <w:framePr w:wrap="around" w:vAnchor="text" w:hAnchor="margin" w:xAlign="right" w:y="1"/>
      <w:rPr>
        <w:rStyle w:val="Nmerodepgina"/>
        <w:rFonts w:ascii="Arial" w:hAnsi="Arial" w:cs="Arial"/>
        <w:color w:val="808080"/>
        <w:sz w:val="20"/>
        <w:szCs w:val="20"/>
      </w:rPr>
    </w:pPr>
    <w:r w:rsidRPr="0048102B">
      <w:rPr>
        <w:rStyle w:val="Nmerodepgina"/>
        <w:rFonts w:ascii="Arial" w:hAnsi="Arial" w:cs="Arial"/>
        <w:color w:val="808080"/>
        <w:sz w:val="20"/>
        <w:szCs w:val="20"/>
      </w:rPr>
      <w:fldChar w:fldCharType="begin"/>
    </w:r>
    <w:r w:rsidRPr="0048102B">
      <w:rPr>
        <w:rStyle w:val="Nmerodepgina"/>
        <w:rFonts w:ascii="Arial" w:hAnsi="Arial" w:cs="Arial"/>
        <w:color w:val="808080"/>
        <w:sz w:val="20"/>
        <w:szCs w:val="20"/>
      </w:rPr>
      <w:instrText xml:space="preserve">PAGE  </w:instrText>
    </w:r>
    <w:r w:rsidRPr="0048102B">
      <w:rPr>
        <w:rStyle w:val="Nmerodepgina"/>
        <w:rFonts w:ascii="Arial" w:hAnsi="Arial" w:cs="Arial"/>
        <w:color w:val="808080"/>
        <w:sz w:val="20"/>
        <w:szCs w:val="20"/>
      </w:rPr>
      <w:fldChar w:fldCharType="separate"/>
    </w:r>
    <w:r w:rsidR="000942A9">
      <w:rPr>
        <w:rStyle w:val="Nmerodepgina"/>
        <w:rFonts w:ascii="Arial" w:hAnsi="Arial" w:cs="Arial"/>
        <w:noProof/>
        <w:color w:val="808080"/>
        <w:sz w:val="20"/>
        <w:szCs w:val="20"/>
      </w:rPr>
      <w:t>3</w:t>
    </w:r>
    <w:r w:rsidRPr="0048102B">
      <w:rPr>
        <w:rStyle w:val="Nmerodepgina"/>
        <w:rFonts w:ascii="Arial" w:hAnsi="Arial" w:cs="Arial"/>
        <w:color w:val="808080"/>
        <w:sz w:val="20"/>
        <w:szCs w:val="20"/>
      </w:rPr>
      <w:fldChar w:fldCharType="end"/>
    </w:r>
  </w:p>
  <w:p w:rsidR="00C6185E" w:rsidRDefault="00C6185E" w:rsidP="001A6BE7">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5E" w:rsidRDefault="00C6185E">
      <w:r>
        <w:separator/>
      </w:r>
    </w:p>
  </w:footnote>
  <w:footnote w:type="continuationSeparator" w:id="0">
    <w:p w:rsidR="00C6185E" w:rsidRDefault="00C6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E" w:rsidRDefault="00C6185E">
    <w:pPr>
      <w:pStyle w:val="Encabezado"/>
    </w:pPr>
    <w:r>
      <w:rPr>
        <w:noProof/>
      </w:rPr>
      <w:drawing>
        <wp:anchor distT="0" distB="0" distL="114300" distR="114300" simplePos="0" relativeHeight="251659264" behindDoc="0" locked="0" layoutInCell="1" allowOverlap="1" wp14:anchorId="2787E70E" wp14:editId="23B7BDDC">
          <wp:simplePos x="0" y="0"/>
          <wp:positionH relativeFrom="column">
            <wp:posOffset>2171700</wp:posOffset>
          </wp:positionH>
          <wp:positionV relativeFrom="paragraph">
            <wp:posOffset>-335915</wp:posOffset>
          </wp:positionV>
          <wp:extent cx="1029335" cy="5149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85E" w:rsidRDefault="00C61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40D8"/>
    <w:multiLevelType w:val="hybridMultilevel"/>
    <w:tmpl w:val="8A50A4DC"/>
    <w:lvl w:ilvl="0" w:tplc="9970067A">
      <w:start w:val="1"/>
      <w:numFmt w:val="bullet"/>
      <w:lvlText w:val=""/>
      <w:lvlJc w:val="left"/>
      <w:pPr>
        <w:tabs>
          <w:tab w:val="num" w:pos="360"/>
        </w:tabs>
        <w:ind w:left="360" w:hanging="360"/>
      </w:pPr>
      <w:rPr>
        <w:rFonts w:ascii="Wingdings" w:hAnsi="Wingdings" w:hint="default"/>
        <w:b/>
        <w:i w:val="0"/>
        <w:color w:val="C0C0C0"/>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18"/>
    <w:rsid w:val="000075FF"/>
    <w:rsid w:val="00024974"/>
    <w:rsid w:val="00036227"/>
    <w:rsid w:val="00075A2D"/>
    <w:rsid w:val="000942A9"/>
    <w:rsid w:val="000F3C67"/>
    <w:rsid w:val="00145984"/>
    <w:rsid w:val="001A6BE7"/>
    <w:rsid w:val="001B6DD8"/>
    <w:rsid w:val="001E2F41"/>
    <w:rsid w:val="0027643E"/>
    <w:rsid w:val="0029635B"/>
    <w:rsid w:val="002D178B"/>
    <w:rsid w:val="003452A0"/>
    <w:rsid w:val="003A70E7"/>
    <w:rsid w:val="003B141B"/>
    <w:rsid w:val="004321CD"/>
    <w:rsid w:val="00450A69"/>
    <w:rsid w:val="00551438"/>
    <w:rsid w:val="00551825"/>
    <w:rsid w:val="00587844"/>
    <w:rsid w:val="005A0504"/>
    <w:rsid w:val="00634071"/>
    <w:rsid w:val="00790DA3"/>
    <w:rsid w:val="007A1985"/>
    <w:rsid w:val="0098016F"/>
    <w:rsid w:val="009F66EA"/>
    <w:rsid w:val="00A34224"/>
    <w:rsid w:val="00A80245"/>
    <w:rsid w:val="00AC5DDB"/>
    <w:rsid w:val="00BC2466"/>
    <w:rsid w:val="00C03818"/>
    <w:rsid w:val="00C54E08"/>
    <w:rsid w:val="00C6185E"/>
    <w:rsid w:val="00C67E38"/>
    <w:rsid w:val="00C84EF9"/>
    <w:rsid w:val="00CD7292"/>
    <w:rsid w:val="00EA4910"/>
    <w:rsid w:val="00F44B2E"/>
    <w:rsid w:val="00FE45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18"/>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C03818"/>
    <w:pPr>
      <w:keepNext/>
      <w:jc w:val="center"/>
      <w:outlineLvl w:val="0"/>
    </w:pPr>
    <w:rPr>
      <w:b/>
      <w:bCs/>
    </w:rPr>
  </w:style>
  <w:style w:type="paragraph" w:styleId="Ttulo4">
    <w:name w:val="heading 4"/>
    <w:basedOn w:val="Normal"/>
    <w:next w:val="Normal"/>
    <w:link w:val="Ttulo4Car"/>
    <w:qFormat/>
    <w:rsid w:val="00C03818"/>
    <w:pPr>
      <w:keepNext/>
      <w:ind w:left="-540" w:right="99"/>
      <w:jc w:val="center"/>
      <w:outlineLvl w:val="3"/>
    </w:pPr>
    <w:rPr>
      <w:b/>
      <w:bCs/>
    </w:rPr>
  </w:style>
  <w:style w:type="paragraph" w:styleId="Ttulo9">
    <w:name w:val="heading 9"/>
    <w:basedOn w:val="Normal"/>
    <w:next w:val="Normal"/>
    <w:link w:val="Ttulo9Car"/>
    <w:qFormat/>
    <w:rsid w:val="00C03818"/>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3818"/>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C03818"/>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C03818"/>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C03818"/>
    <w:pPr>
      <w:ind w:left="360"/>
    </w:pPr>
    <w:rPr>
      <w:b/>
      <w:bCs/>
      <w:sz w:val="20"/>
    </w:rPr>
  </w:style>
  <w:style w:type="character" w:customStyle="1" w:styleId="SangradetextonormalCar">
    <w:name w:val="Sangría de texto normal Car"/>
    <w:basedOn w:val="Fuentedeprrafopredeter"/>
    <w:link w:val="Sangradetextonormal"/>
    <w:rsid w:val="00C03818"/>
    <w:rPr>
      <w:rFonts w:ascii="Verdana" w:eastAsia="Times New Roman" w:hAnsi="Verdana" w:cs="Times New Roman"/>
      <w:b/>
      <w:bCs/>
      <w:sz w:val="20"/>
      <w:szCs w:val="24"/>
      <w:lang w:eastAsia="es-ES"/>
    </w:rPr>
  </w:style>
  <w:style w:type="paragraph" w:styleId="Encabezado">
    <w:name w:val="header"/>
    <w:basedOn w:val="Normal"/>
    <w:link w:val="EncabezadoCar"/>
    <w:rsid w:val="00C03818"/>
    <w:pPr>
      <w:tabs>
        <w:tab w:val="center" w:pos="4252"/>
        <w:tab w:val="right" w:pos="8504"/>
      </w:tabs>
    </w:pPr>
  </w:style>
  <w:style w:type="character" w:customStyle="1" w:styleId="EncabezadoCar">
    <w:name w:val="Encabezado Car"/>
    <w:basedOn w:val="Fuentedeprrafopredeter"/>
    <w:link w:val="Encabezado"/>
    <w:rsid w:val="00C03818"/>
    <w:rPr>
      <w:rFonts w:ascii="Verdana" w:eastAsia="Times New Roman" w:hAnsi="Verdana" w:cs="Times New Roman"/>
      <w:szCs w:val="24"/>
      <w:lang w:eastAsia="es-ES"/>
    </w:rPr>
  </w:style>
  <w:style w:type="paragraph" w:styleId="Piedepgina">
    <w:name w:val="footer"/>
    <w:basedOn w:val="Normal"/>
    <w:link w:val="PiedepginaCar"/>
    <w:rsid w:val="00C03818"/>
    <w:pPr>
      <w:tabs>
        <w:tab w:val="center" w:pos="4252"/>
        <w:tab w:val="right" w:pos="8504"/>
      </w:tabs>
    </w:pPr>
  </w:style>
  <w:style w:type="character" w:customStyle="1" w:styleId="PiedepginaCar">
    <w:name w:val="Pie de página Car"/>
    <w:basedOn w:val="Fuentedeprrafopredeter"/>
    <w:link w:val="Piedepgina"/>
    <w:rsid w:val="00C03818"/>
    <w:rPr>
      <w:rFonts w:ascii="Verdana" w:eastAsia="Times New Roman" w:hAnsi="Verdana" w:cs="Times New Roman"/>
      <w:szCs w:val="24"/>
      <w:lang w:eastAsia="es-ES"/>
    </w:rPr>
  </w:style>
  <w:style w:type="character" w:styleId="Nmerodepgina">
    <w:name w:val="page number"/>
    <w:rsid w:val="00C03818"/>
  </w:style>
  <w:style w:type="paragraph" w:styleId="Prrafodelista">
    <w:name w:val="List Paragraph"/>
    <w:basedOn w:val="Normal"/>
    <w:uiPriority w:val="34"/>
    <w:qFormat/>
    <w:rsid w:val="00C03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18"/>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C03818"/>
    <w:pPr>
      <w:keepNext/>
      <w:jc w:val="center"/>
      <w:outlineLvl w:val="0"/>
    </w:pPr>
    <w:rPr>
      <w:b/>
      <w:bCs/>
    </w:rPr>
  </w:style>
  <w:style w:type="paragraph" w:styleId="Ttulo4">
    <w:name w:val="heading 4"/>
    <w:basedOn w:val="Normal"/>
    <w:next w:val="Normal"/>
    <w:link w:val="Ttulo4Car"/>
    <w:qFormat/>
    <w:rsid w:val="00C03818"/>
    <w:pPr>
      <w:keepNext/>
      <w:ind w:left="-540" w:right="99"/>
      <w:jc w:val="center"/>
      <w:outlineLvl w:val="3"/>
    </w:pPr>
    <w:rPr>
      <w:b/>
      <w:bCs/>
    </w:rPr>
  </w:style>
  <w:style w:type="paragraph" w:styleId="Ttulo9">
    <w:name w:val="heading 9"/>
    <w:basedOn w:val="Normal"/>
    <w:next w:val="Normal"/>
    <w:link w:val="Ttulo9Car"/>
    <w:qFormat/>
    <w:rsid w:val="00C03818"/>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3818"/>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C03818"/>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C03818"/>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C03818"/>
    <w:pPr>
      <w:ind w:left="360"/>
    </w:pPr>
    <w:rPr>
      <w:b/>
      <w:bCs/>
      <w:sz w:val="20"/>
    </w:rPr>
  </w:style>
  <w:style w:type="character" w:customStyle="1" w:styleId="SangradetextonormalCar">
    <w:name w:val="Sangría de texto normal Car"/>
    <w:basedOn w:val="Fuentedeprrafopredeter"/>
    <w:link w:val="Sangradetextonormal"/>
    <w:rsid w:val="00C03818"/>
    <w:rPr>
      <w:rFonts w:ascii="Verdana" w:eastAsia="Times New Roman" w:hAnsi="Verdana" w:cs="Times New Roman"/>
      <w:b/>
      <w:bCs/>
      <w:sz w:val="20"/>
      <w:szCs w:val="24"/>
      <w:lang w:eastAsia="es-ES"/>
    </w:rPr>
  </w:style>
  <w:style w:type="paragraph" w:styleId="Encabezado">
    <w:name w:val="header"/>
    <w:basedOn w:val="Normal"/>
    <w:link w:val="EncabezadoCar"/>
    <w:rsid w:val="00C03818"/>
    <w:pPr>
      <w:tabs>
        <w:tab w:val="center" w:pos="4252"/>
        <w:tab w:val="right" w:pos="8504"/>
      </w:tabs>
    </w:pPr>
  </w:style>
  <w:style w:type="character" w:customStyle="1" w:styleId="EncabezadoCar">
    <w:name w:val="Encabezado Car"/>
    <w:basedOn w:val="Fuentedeprrafopredeter"/>
    <w:link w:val="Encabezado"/>
    <w:rsid w:val="00C03818"/>
    <w:rPr>
      <w:rFonts w:ascii="Verdana" w:eastAsia="Times New Roman" w:hAnsi="Verdana" w:cs="Times New Roman"/>
      <w:szCs w:val="24"/>
      <w:lang w:eastAsia="es-ES"/>
    </w:rPr>
  </w:style>
  <w:style w:type="paragraph" w:styleId="Piedepgina">
    <w:name w:val="footer"/>
    <w:basedOn w:val="Normal"/>
    <w:link w:val="PiedepginaCar"/>
    <w:rsid w:val="00C03818"/>
    <w:pPr>
      <w:tabs>
        <w:tab w:val="center" w:pos="4252"/>
        <w:tab w:val="right" w:pos="8504"/>
      </w:tabs>
    </w:pPr>
  </w:style>
  <w:style w:type="character" w:customStyle="1" w:styleId="PiedepginaCar">
    <w:name w:val="Pie de página Car"/>
    <w:basedOn w:val="Fuentedeprrafopredeter"/>
    <w:link w:val="Piedepgina"/>
    <w:rsid w:val="00C03818"/>
    <w:rPr>
      <w:rFonts w:ascii="Verdana" w:eastAsia="Times New Roman" w:hAnsi="Verdana" w:cs="Times New Roman"/>
      <w:szCs w:val="24"/>
      <w:lang w:eastAsia="es-ES"/>
    </w:rPr>
  </w:style>
  <w:style w:type="character" w:styleId="Nmerodepgina">
    <w:name w:val="page number"/>
    <w:rsid w:val="00C03818"/>
  </w:style>
  <w:style w:type="paragraph" w:styleId="Prrafodelista">
    <w:name w:val="List Paragraph"/>
    <w:basedOn w:val="Normal"/>
    <w:uiPriority w:val="34"/>
    <w:qFormat/>
    <w:rsid w:val="00C0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10392">
      <w:bodyDiv w:val="1"/>
      <w:marLeft w:val="0"/>
      <w:marRight w:val="0"/>
      <w:marTop w:val="0"/>
      <w:marBottom w:val="0"/>
      <w:divBdr>
        <w:top w:val="none" w:sz="0" w:space="0" w:color="auto"/>
        <w:left w:val="none" w:sz="0" w:space="0" w:color="auto"/>
        <w:bottom w:val="none" w:sz="0" w:space="0" w:color="auto"/>
        <w:right w:val="none" w:sz="0" w:space="0" w:color="auto"/>
      </w:divBdr>
    </w:div>
    <w:div w:id="985863362">
      <w:bodyDiv w:val="1"/>
      <w:marLeft w:val="0"/>
      <w:marRight w:val="0"/>
      <w:marTop w:val="0"/>
      <w:marBottom w:val="0"/>
      <w:divBdr>
        <w:top w:val="none" w:sz="0" w:space="0" w:color="auto"/>
        <w:left w:val="none" w:sz="0" w:space="0" w:color="auto"/>
        <w:bottom w:val="none" w:sz="0" w:space="0" w:color="auto"/>
        <w:right w:val="none" w:sz="0" w:space="0" w:color="auto"/>
      </w:divBdr>
    </w:div>
    <w:div w:id="15627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1592</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agett_06</dc:creator>
  <cp:keywords/>
  <dc:description/>
  <cp:lastModifiedBy>agett_06</cp:lastModifiedBy>
  <cp:revision>74</cp:revision>
  <dcterms:created xsi:type="dcterms:W3CDTF">2011-08-03T11:51:00Z</dcterms:created>
  <dcterms:modified xsi:type="dcterms:W3CDTF">2011-08-04T12:46:00Z</dcterms:modified>
</cp:coreProperties>
</file>