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19B" w:rsidRPr="00390BBD" w:rsidRDefault="00DE119B" w:rsidP="00DE119B">
      <w:pPr>
        <w:pStyle w:val="Ttulo4"/>
        <w:tabs>
          <w:tab w:val="left" w:pos="8820"/>
        </w:tabs>
        <w:spacing w:line="360" w:lineRule="auto"/>
        <w:ind w:left="0"/>
        <w:rPr>
          <w:b w:val="0"/>
          <w:sz w:val="16"/>
          <w:szCs w:val="16"/>
          <w:u w:val="single"/>
        </w:rPr>
      </w:pPr>
      <w:r w:rsidRPr="00390BBD">
        <w:rPr>
          <w:b w:val="0"/>
          <w:sz w:val="16"/>
          <w:szCs w:val="16"/>
          <w:u w:val="single"/>
        </w:rPr>
        <w:t>NOTA DE PRENSA</w:t>
      </w:r>
    </w:p>
    <w:p w:rsidR="00DE119B" w:rsidRPr="00F44B2E" w:rsidRDefault="00DE119B" w:rsidP="00390BBD">
      <w:pPr>
        <w:pStyle w:val="Ttulo1"/>
        <w:ind w:right="96"/>
        <w:rPr>
          <w:b w:val="0"/>
          <w:sz w:val="16"/>
          <w:szCs w:val="16"/>
        </w:rPr>
      </w:pPr>
      <w:r w:rsidRPr="00F44B2E">
        <w:rPr>
          <w:b w:val="0"/>
          <w:sz w:val="16"/>
          <w:szCs w:val="16"/>
        </w:rPr>
        <w:t>“</w:t>
      </w:r>
      <w:r w:rsidRPr="00390BBD">
        <w:rPr>
          <w:b w:val="0"/>
          <w:i/>
          <w:sz w:val="16"/>
          <w:szCs w:val="16"/>
        </w:rPr>
        <w:t xml:space="preserve">AVANCE DEL MERCADO LABORAL </w:t>
      </w:r>
      <w:proofErr w:type="spellStart"/>
      <w:r w:rsidRPr="00390BBD">
        <w:rPr>
          <w:b w:val="0"/>
          <w:i/>
          <w:sz w:val="16"/>
          <w:szCs w:val="16"/>
        </w:rPr>
        <w:t>Afi</w:t>
      </w:r>
      <w:proofErr w:type="spellEnd"/>
      <w:r w:rsidRPr="00390BBD">
        <w:rPr>
          <w:b w:val="0"/>
          <w:i/>
          <w:sz w:val="16"/>
          <w:szCs w:val="16"/>
        </w:rPr>
        <w:t>-AGETT</w:t>
      </w:r>
      <w:r w:rsidRPr="00F44B2E">
        <w:rPr>
          <w:b w:val="0"/>
          <w:sz w:val="16"/>
          <w:szCs w:val="16"/>
        </w:rPr>
        <w:t>”</w:t>
      </w:r>
      <w:r w:rsidR="00390BBD">
        <w:rPr>
          <w:b w:val="0"/>
          <w:sz w:val="16"/>
          <w:szCs w:val="16"/>
        </w:rPr>
        <w:t xml:space="preserve"> - </w:t>
      </w:r>
      <w:r w:rsidR="00763954">
        <w:rPr>
          <w:b w:val="0"/>
          <w:sz w:val="16"/>
          <w:szCs w:val="16"/>
        </w:rPr>
        <w:t>NOVIEMBRE</w:t>
      </w:r>
      <w:r w:rsidRPr="00F44B2E">
        <w:rPr>
          <w:b w:val="0"/>
          <w:sz w:val="16"/>
          <w:szCs w:val="16"/>
        </w:rPr>
        <w:t xml:space="preserve"> 2011</w:t>
      </w:r>
    </w:p>
    <w:p w:rsidR="00DE119B" w:rsidRDefault="00DE119B" w:rsidP="00DE119B">
      <w:pPr>
        <w:rPr>
          <w:color w:val="FF0000"/>
          <w:sz w:val="12"/>
        </w:rPr>
      </w:pPr>
    </w:p>
    <w:p w:rsidR="007C091E" w:rsidRDefault="007C091E" w:rsidP="00DE119B">
      <w:pPr>
        <w:pStyle w:val="Ttulo9"/>
        <w:ind w:right="-441" w:hanging="360"/>
        <w:jc w:val="center"/>
        <w:rPr>
          <w:noProof/>
          <w:color w:val="0000FF"/>
          <w:sz w:val="20"/>
          <w:szCs w:val="20"/>
        </w:rPr>
      </w:pPr>
      <w:r>
        <w:rPr>
          <w:noProof/>
          <w:color w:val="0000FF"/>
          <w:sz w:val="20"/>
          <w:szCs w:val="20"/>
        </w:rPr>
        <w:t xml:space="preserve">LOS HOGARES ESPAÑOLES GASTAN CASI UN 7% MENOS AHORA </w:t>
      </w:r>
    </w:p>
    <w:p w:rsidR="00DE119B" w:rsidRPr="00BC2466" w:rsidRDefault="00333F87" w:rsidP="00DE119B">
      <w:pPr>
        <w:pStyle w:val="Ttulo9"/>
        <w:ind w:right="-441" w:hanging="360"/>
        <w:jc w:val="center"/>
        <w:rPr>
          <w:noProof/>
          <w:color w:val="0000FF"/>
          <w:sz w:val="20"/>
          <w:szCs w:val="20"/>
        </w:rPr>
      </w:pPr>
      <w:r>
        <w:rPr>
          <w:noProof/>
        </w:rPr>
        <mc:AlternateContent>
          <mc:Choice Requires="wps">
            <w:drawing>
              <wp:anchor distT="0" distB="0" distL="114300" distR="114300" simplePos="0" relativeHeight="251659264" behindDoc="0" locked="0" layoutInCell="1" allowOverlap="1" wp14:anchorId="27E657C5" wp14:editId="4AC1F47C">
                <wp:simplePos x="0" y="0"/>
                <wp:positionH relativeFrom="column">
                  <wp:posOffset>19050</wp:posOffset>
                </wp:positionH>
                <wp:positionV relativeFrom="paragraph">
                  <wp:posOffset>215900</wp:posOffset>
                </wp:positionV>
                <wp:extent cx="6179185" cy="3629025"/>
                <wp:effectExtent l="0" t="0" r="12065" b="28575"/>
                <wp:wrapSquare wrapText="bothSides"/>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185" cy="3629025"/>
                        </a:xfrm>
                        <a:prstGeom prst="rect">
                          <a:avLst/>
                        </a:prstGeom>
                        <a:solidFill>
                          <a:srgbClr val="F8F8F8"/>
                        </a:solidFill>
                        <a:ln w="9525" cap="rnd">
                          <a:solidFill>
                            <a:srgbClr val="C0C0C0"/>
                          </a:solidFill>
                          <a:prstDash val="sysDot"/>
                          <a:miter lim="800000"/>
                          <a:headEnd/>
                          <a:tailEnd/>
                        </a:ln>
                      </wps:spPr>
                      <wps:txbx>
                        <w:txbxContent>
                          <w:p w:rsidR="00EF2E44" w:rsidRPr="003A70E7" w:rsidRDefault="00EF2E44" w:rsidP="00DE119B">
                            <w:pPr>
                              <w:pStyle w:val="Sangradetextonormal"/>
                              <w:ind w:left="0"/>
                              <w:jc w:val="both"/>
                              <w:rPr>
                                <w:b w:val="0"/>
                                <w:bCs w:val="0"/>
                                <w:sz w:val="2"/>
                                <w:szCs w:val="2"/>
                              </w:rPr>
                            </w:pPr>
                          </w:p>
                          <w:p w:rsidR="00EF2E44" w:rsidRDefault="00EF2E44" w:rsidP="00DE119B">
                            <w:pPr>
                              <w:pStyle w:val="Sangradetextonormal"/>
                              <w:numPr>
                                <w:ilvl w:val="0"/>
                                <w:numId w:val="1"/>
                              </w:numPr>
                              <w:jc w:val="both"/>
                              <w:rPr>
                                <w:b w:val="0"/>
                                <w:bCs w:val="0"/>
                                <w:sz w:val="19"/>
                                <w:szCs w:val="19"/>
                              </w:rPr>
                            </w:pPr>
                            <w:r w:rsidRPr="001B6DD8">
                              <w:rPr>
                                <w:b w:val="0"/>
                                <w:bCs w:val="0"/>
                                <w:sz w:val="19"/>
                                <w:szCs w:val="19"/>
                              </w:rPr>
                              <w:t xml:space="preserve">El indicador AML </w:t>
                            </w:r>
                            <w:proofErr w:type="spellStart"/>
                            <w:r w:rsidRPr="001B6DD8">
                              <w:rPr>
                                <w:b w:val="0"/>
                                <w:bCs w:val="0"/>
                                <w:sz w:val="19"/>
                                <w:szCs w:val="19"/>
                              </w:rPr>
                              <w:t>Afi</w:t>
                            </w:r>
                            <w:proofErr w:type="spellEnd"/>
                            <w:r w:rsidRPr="001B6DD8">
                              <w:rPr>
                                <w:b w:val="0"/>
                                <w:bCs w:val="0"/>
                                <w:sz w:val="19"/>
                                <w:szCs w:val="19"/>
                              </w:rPr>
                              <w:t>-AGETT prevé una caída de la ocupación del -</w:t>
                            </w:r>
                            <w:r>
                              <w:rPr>
                                <w:b w:val="0"/>
                                <w:bCs w:val="0"/>
                                <w:sz w:val="19"/>
                                <w:szCs w:val="19"/>
                              </w:rPr>
                              <w:t>2,7</w:t>
                            </w:r>
                            <w:r w:rsidRPr="001B6DD8">
                              <w:rPr>
                                <w:b w:val="0"/>
                                <w:bCs w:val="0"/>
                                <w:sz w:val="19"/>
                                <w:szCs w:val="19"/>
                              </w:rPr>
                              <w:t xml:space="preserve">% en </w:t>
                            </w:r>
                            <w:r>
                              <w:rPr>
                                <w:b w:val="0"/>
                                <w:bCs w:val="0"/>
                                <w:sz w:val="19"/>
                                <w:szCs w:val="19"/>
                              </w:rPr>
                              <w:t>enero, llegando a un nuevo mínimo con 17,7 millones de ocupados</w:t>
                            </w:r>
                          </w:p>
                          <w:p w:rsidR="00EF2E44" w:rsidRPr="00EF2E44" w:rsidRDefault="00EF2E44" w:rsidP="00B54855">
                            <w:pPr>
                              <w:pStyle w:val="Sangradetextonormal"/>
                              <w:jc w:val="both"/>
                              <w:rPr>
                                <w:b w:val="0"/>
                                <w:bCs w:val="0"/>
                                <w:sz w:val="12"/>
                                <w:szCs w:val="12"/>
                              </w:rPr>
                            </w:pPr>
                          </w:p>
                          <w:p w:rsidR="00EF2E44" w:rsidRDefault="00EF2E44" w:rsidP="00DE119B">
                            <w:pPr>
                              <w:pStyle w:val="Sangradetextonormal"/>
                              <w:numPr>
                                <w:ilvl w:val="0"/>
                                <w:numId w:val="1"/>
                              </w:numPr>
                              <w:jc w:val="both"/>
                              <w:rPr>
                                <w:b w:val="0"/>
                                <w:bCs w:val="0"/>
                                <w:sz w:val="19"/>
                                <w:szCs w:val="19"/>
                              </w:rPr>
                            </w:pPr>
                            <w:r>
                              <w:rPr>
                                <w:b w:val="0"/>
                                <w:bCs w:val="0"/>
                                <w:sz w:val="19"/>
                                <w:szCs w:val="19"/>
                              </w:rPr>
                              <w:t>En el IIITR11 El paro ha sido especialmente severo con aquellas persona</w:t>
                            </w:r>
                            <w:r w:rsidR="00352A93">
                              <w:rPr>
                                <w:b w:val="0"/>
                                <w:bCs w:val="0"/>
                                <w:sz w:val="19"/>
                                <w:szCs w:val="19"/>
                              </w:rPr>
                              <w:t xml:space="preserve">s que provenían de la educación, </w:t>
                            </w:r>
                            <w:r>
                              <w:rPr>
                                <w:b w:val="0"/>
                                <w:bCs w:val="0"/>
                                <w:sz w:val="19"/>
                                <w:szCs w:val="19"/>
                              </w:rPr>
                              <w:t>personas sin empleo anterior y aquellas que dejaron su empleo hace más de un año</w:t>
                            </w:r>
                          </w:p>
                          <w:p w:rsidR="00EF2E44" w:rsidRPr="00EF2E44" w:rsidRDefault="00EF2E44" w:rsidP="00EF2E44">
                            <w:pPr>
                              <w:pStyle w:val="Prrafodelista"/>
                              <w:rPr>
                                <w:b/>
                                <w:bCs/>
                                <w:sz w:val="12"/>
                                <w:szCs w:val="12"/>
                              </w:rPr>
                            </w:pPr>
                          </w:p>
                          <w:p w:rsidR="00EF2E44" w:rsidRDefault="00EF2E44" w:rsidP="00DE119B">
                            <w:pPr>
                              <w:pStyle w:val="Sangradetextonormal"/>
                              <w:numPr>
                                <w:ilvl w:val="0"/>
                                <w:numId w:val="1"/>
                              </w:numPr>
                              <w:jc w:val="both"/>
                              <w:rPr>
                                <w:b w:val="0"/>
                                <w:bCs w:val="0"/>
                                <w:sz w:val="19"/>
                                <w:szCs w:val="19"/>
                              </w:rPr>
                            </w:pPr>
                            <w:r>
                              <w:rPr>
                                <w:b w:val="0"/>
                                <w:bCs w:val="0"/>
                                <w:sz w:val="19"/>
                                <w:szCs w:val="19"/>
                              </w:rPr>
                              <w:t>Los desplazados del mercado laboral se sitúan cerca de los 6,7% y se han incrementado en un 8,1% respecto al año anterior</w:t>
                            </w:r>
                          </w:p>
                          <w:p w:rsidR="00EF2E44" w:rsidRPr="00EF2E44" w:rsidRDefault="00EF2E44" w:rsidP="00EF2E44">
                            <w:pPr>
                              <w:pStyle w:val="Prrafodelista"/>
                              <w:rPr>
                                <w:b/>
                                <w:bCs/>
                                <w:sz w:val="12"/>
                                <w:szCs w:val="12"/>
                              </w:rPr>
                            </w:pPr>
                          </w:p>
                          <w:p w:rsidR="00EF2E44" w:rsidRDefault="00EF2E44" w:rsidP="00DE119B">
                            <w:pPr>
                              <w:pStyle w:val="Sangradetextonormal"/>
                              <w:numPr>
                                <w:ilvl w:val="0"/>
                                <w:numId w:val="1"/>
                              </w:numPr>
                              <w:jc w:val="both"/>
                              <w:rPr>
                                <w:b w:val="0"/>
                                <w:bCs w:val="0"/>
                                <w:sz w:val="19"/>
                                <w:szCs w:val="19"/>
                              </w:rPr>
                            </w:pPr>
                            <w:r>
                              <w:rPr>
                                <w:b w:val="0"/>
                                <w:bCs w:val="0"/>
                                <w:sz w:val="19"/>
                                <w:szCs w:val="19"/>
                              </w:rPr>
                              <w:t>El gasto medio por hogar en nuestro país se ha reducido en un 6,9% desde que comenzó la crisis (2007)</w:t>
                            </w:r>
                          </w:p>
                          <w:p w:rsidR="00EF2E44" w:rsidRPr="00EF2E44" w:rsidRDefault="00EF2E44" w:rsidP="00EF2E44">
                            <w:pPr>
                              <w:pStyle w:val="Prrafodelista"/>
                              <w:rPr>
                                <w:b/>
                                <w:bCs/>
                                <w:sz w:val="12"/>
                                <w:szCs w:val="12"/>
                              </w:rPr>
                            </w:pPr>
                          </w:p>
                          <w:p w:rsidR="00EF2E44" w:rsidRPr="003F0B98" w:rsidRDefault="00EF2E44" w:rsidP="00DE119B">
                            <w:pPr>
                              <w:pStyle w:val="Sangradetextonormal"/>
                              <w:numPr>
                                <w:ilvl w:val="0"/>
                                <w:numId w:val="1"/>
                              </w:numPr>
                              <w:jc w:val="both"/>
                              <w:rPr>
                                <w:b w:val="0"/>
                                <w:bCs w:val="0"/>
                                <w:sz w:val="19"/>
                                <w:szCs w:val="19"/>
                              </w:rPr>
                            </w:pPr>
                            <w:r>
                              <w:rPr>
                                <w:b w:val="0"/>
                                <w:bCs w:val="0"/>
                                <w:sz w:val="19"/>
                                <w:szCs w:val="19"/>
                              </w:rPr>
                              <w:t xml:space="preserve">Cae el presupuesto destinado a todas las partidas salvo las asociadas con </w:t>
                            </w:r>
                            <w:r w:rsidRPr="00EF2E44">
                              <w:rPr>
                                <w:b w:val="0"/>
                                <w:bCs w:val="0"/>
                                <w:i/>
                                <w:sz w:val="19"/>
                                <w:szCs w:val="19"/>
                              </w:rPr>
                              <w:t>Vivienda</w:t>
                            </w:r>
                            <w:r w:rsidR="003F0B98" w:rsidRPr="003F0B98">
                              <w:rPr>
                                <w:b w:val="0"/>
                                <w:bCs w:val="0"/>
                                <w:sz w:val="19"/>
                                <w:szCs w:val="19"/>
                              </w:rPr>
                              <w:t xml:space="preserve"> (9%)</w:t>
                            </w:r>
                            <w:r w:rsidRPr="003F0B98">
                              <w:rPr>
                                <w:b w:val="0"/>
                                <w:bCs w:val="0"/>
                                <w:sz w:val="19"/>
                                <w:szCs w:val="19"/>
                              </w:rPr>
                              <w:t>,</w:t>
                            </w:r>
                            <w:r>
                              <w:rPr>
                                <w:b w:val="0"/>
                                <w:bCs w:val="0"/>
                                <w:sz w:val="19"/>
                                <w:szCs w:val="19"/>
                              </w:rPr>
                              <w:t xml:space="preserve"> </w:t>
                            </w:r>
                            <w:r w:rsidRPr="00EF2E44">
                              <w:rPr>
                                <w:b w:val="0"/>
                                <w:bCs w:val="0"/>
                                <w:i/>
                                <w:sz w:val="19"/>
                                <w:szCs w:val="19"/>
                              </w:rPr>
                              <w:t>Enseñanza</w:t>
                            </w:r>
                            <w:r w:rsidR="003F0B98">
                              <w:rPr>
                                <w:b w:val="0"/>
                                <w:bCs w:val="0"/>
                                <w:i/>
                                <w:sz w:val="19"/>
                                <w:szCs w:val="19"/>
                              </w:rPr>
                              <w:t xml:space="preserve"> </w:t>
                            </w:r>
                            <w:r w:rsidR="003F0B98" w:rsidRPr="003F0B98">
                              <w:rPr>
                                <w:b w:val="0"/>
                                <w:bCs w:val="0"/>
                                <w:sz w:val="19"/>
                                <w:szCs w:val="19"/>
                              </w:rPr>
                              <w:t>(6,6%)</w:t>
                            </w:r>
                            <w:r>
                              <w:rPr>
                                <w:b w:val="0"/>
                                <w:bCs w:val="0"/>
                                <w:sz w:val="19"/>
                                <w:szCs w:val="19"/>
                              </w:rPr>
                              <w:t xml:space="preserve"> </w:t>
                            </w:r>
                            <w:r w:rsidRPr="003F0B98">
                              <w:rPr>
                                <w:b w:val="0"/>
                                <w:bCs w:val="0"/>
                                <w:sz w:val="19"/>
                                <w:szCs w:val="19"/>
                              </w:rPr>
                              <w:t xml:space="preserve">y </w:t>
                            </w:r>
                            <w:r w:rsidRPr="00EF2E44">
                              <w:rPr>
                                <w:b w:val="0"/>
                                <w:bCs w:val="0"/>
                                <w:i/>
                                <w:sz w:val="19"/>
                                <w:szCs w:val="19"/>
                              </w:rPr>
                              <w:t>Bebidas alcohólicas y tabaco</w:t>
                            </w:r>
                            <w:r w:rsidR="003F0B98">
                              <w:rPr>
                                <w:b w:val="0"/>
                                <w:bCs w:val="0"/>
                                <w:i/>
                                <w:sz w:val="19"/>
                                <w:szCs w:val="19"/>
                              </w:rPr>
                              <w:t xml:space="preserve"> </w:t>
                            </w:r>
                            <w:r w:rsidR="003F0B98" w:rsidRPr="003F0B98">
                              <w:rPr>
                                <w:b w:val="0"/>
                                <w:bCs w:val="0"/>
                                <w:sz w:val="19"/>
                                <w:szCs w:val="19"/>
                              </w:rPr>
                              <w:t>(4,4%)</w:t>
                            </w:r>
                          </w:p>
                          <w:p w:rsidR="00EF2E44" w:rsidRPr="00EF2E44" w:rsidRDefault="00EF2E44" w:rsidP="00EF2E44">
                            <w:pPr>
                              <w:pStyle w:val="Prrafodelista"/>
                              <w:rPr>
                                <w:b/>
                                <w:bCs/>
                                <w:sz w:val="12"/>
                                <w:szCs w:val="12"/>
                              </w:rPr>
                            </w:pPr>
                          </w:p>
                          <w:p w:rsidR="00EF2E44" w:rsidRPr="003F0B98" w:rsidRDefault="00EF2E44" w:rsidP="00DE119B">
                            <w:pPr>
                              <w:pStyle w:val="Sangradetextonormal"/>
                              <w:numPr>
                                <w:ilvl w:val="0"/>
                                <w:numId w:val="1"/>
                              </w:numPr>
                              <w:jc w:val="both"/>
                              <w:rPr>
                                <w:b w:val="0"/>
                                <w:bCs w:val="0"/>
                                <w:sz w:val="19"/>
                                <w:szCs w:val="19"/>
                              </w:rPr>
                            </w:pPr>
                            <w:r>
                              <w:rPr>
                                <w:b w:val="0"/>
                                <w:bCs w:val="0"/>
                                <w:sz w:val="19"/>
                                <w:szCs w:val="19"/>
                              </w:rPr>
                              <w:t>Las familia</w:t>
                            </w:r>
                            <w:r w:rsidR="003F0B98">
                              <w:rPr>
                                <w:b w:val="0"/>
                                <w:bCs w:val="0"/>
                                <w:sz w:val="19"/>
                                <w:szCs w:val="19"/>
                              </w:rPr>
                              <w:t>s</w:t>
                            </w:r>
                            <w:r>
                              <w:rPr>
                                <w:b w:val="0"/>
                                <w:bCs w:val="0"/>
                                <w:sz w:val="19"/>
                                <w:szCs w:val="19"/>
                              </w:rPr>
                              <w:t xml:space="preserve"> gas</w:t>
                            </w:r>
                            <w:r w:rsidR="003F0B98">
                              <w:rPr>
                                <w:b w:val="0"/>
                                <w:bCs w:val="0"/>
                                <w:sz w:val="19"/>
                                <w:szCs w:val="19"/>
                              </w:rPr>
                              <w:t xml:space="preserve">tan de media un 20,4% menos en </w:t>
                            </w:r>
                            <w:r w:rsidR="0059519D">
                              <w:rPr>
                                <w:b w:val="0"/>
                                <w:bCs w:val="0"/>
                                <w:sz w:val="19"/>
                                <w:szCs w:val="19"/>
                              </w:rPr>
                              <w:t>“</w:t>
                            </w:r>
                            <w:r w:rsidR="003F0B98" w:rsidRPr="003F0B98">
                              <w:rPr>
                                <w:b w:val="0"/>
                                <w:bCs w:val="0"/>
                                <w:i/>
                                <w:sz w:val="19"/>
                                <w:szCs w:val="19"/>
                              </w:rPr>
                              <w:t>V</w:t>
                            </w:r>
                            <w:r w:rsidRPr="003F0B98">
                              <w:rPr>
                                <w:b w:val="0"/>
                                <w:bCs w:val="0"/>
                                <w:i/>
                                <w:sz w:val="19"/>
                                <w:szCs w:val="19"/>
                              </w:rPr>
                              <w:t>estimenta</w:t>
                            </w:r>
                            <w:r w:rsidR="0059519D">
                              <w:rPr>
                                <w:b w:val="0"/>
                                <w:bCs w:val="0"/>
                                <w:i/>
                                <w:sz w:val="19"/>
                                <w:szCs w:val="19"/>
                              </w:rPr>
                              <w:t>”</w:t>
                            </w:r>
                            <w:r w:rsidR="003F0B98">
                              <w:rPr>
                                <w:b w:val="0"/>
                                <w:bCs w:val="0"/>
                                <w:sz w:val="19"/>
                                <w:szCs w:val="19"/>
                              </w:rPr>
                              <w:t xml:space="preserve">, y un 19,9% menos en </w:t>
                            </w:r>
                            <w:r w:rsidR="0059519D">
                              <w:rPr>
                                <w:b w:val="0"/>
                                <w:bCs w:val="0"/>
                                <w:sz w:val="19"/>
                                <w:szCs w:val="19"/>
                              </w:rPr>
                              <w:t>“</w:t>
                            </w:r>
                            <w:r w:rsidR="003F0B98" w:rsidRPr="003F0B98">
                              <w:rPr>
                                <w:b w:val="0"/>
                                <w:bCs w:val="0"/>
                                <w:i/>
                                <w:sz w:val="19"/>
                                <w:szCs w:val="19"/>
                              </w:rPr>
                              <w:t>T</w:t>
                            </w:r>
                            <w:r w:rsidRPr="003F0B98">
                              <w:rPr>
                                <w:b w:val="0"/>
                                <w:bCs w:val="0"/>
                                <w:i/>
                                <w:sz w:val="19"/>
                                <w:szCs w:val="19"/>
                              </w:rPr>
                              <w:t>ransportes</w:t>
                            </w:r>
                            <w:r w:rsidR="0059519D">
                              <w:rPr>
                                <w:b w:val="0"/>
                                <w:bCs w:val="0"/>
                                <w:i/>
                                <w:sz w:val="19"/>
                                <w:szCs w:val="19"/>
                              </w:rPr>
                              <w:t>”</w:t>
                            </w:r>
                            <w:r>
                              <w:rPr>
                                <w:b w:val="0"/>
                                <w:bCs w:val="0"/>
                                <w:sz w:val="19"/>
                                <w:szCs w:val="19"/>
                              </w:rPr>
                              <w:t xml:space="preserve"> y </w:t>
                            </w:r>
                            <w:r w:rsidR="0059519D">
                              <w:rPr>
                                <w:b w:val="0"/>
                                <w:bCs w:val="0"/>
                                <w:sz w:val="19"/>
                                <w:szCs w:val="19"/>
                              </w:rPr>
                              <w:t>“</w:t>
                            </w:r>
                            <w:r w:rsidR="003F0B98" w:rsidRPr="003F0B98">
                              <w:rPr>
                                <w:b w:val="0"/>
                                <w:bCs w:val="0"/>
                                <w:i/>
                                <w:sz w:val="19"/>
                                <w:szCs w:val="19"/>
                              </w:rPr>
                              <w:t>Mobiliario y equipamiento para el hogar</w:t>
                            </w:r>
                            <w:r w:rsidR="0059519D">
                              <w:rPr>
                                <w:b w:val="0"/>
                                <w:bCs w:val="0"/>
                                <w:i/>
                                <w:sz w:val="19"/>
                                <w:szCs w:val="19"/>
                              </w:rPr>
                              <w:t>”</w:t>
                            </w:r>
                          </w:p>
                          <w:p w:rsidR="003F0B98" w:rsidRPr="003F0B98" w:rsidRDefault="003F0B98" w:rsidP="003F0B98">
                            <w:pPr>
                              <w:pStyle w:val="Prrafodelista"/>
                              <w:rPr>
                                <w:b/>
                                <w:bCs/>
                                <w:sz w:val="12"/>
                                <w:szCs w:val="12"/>
                              </w:rPr>
                            </w:pPr>
                          </w:p>
                          <w:p w:rsidR="003F0B98" w:rsidRDefault="003F0B98" w:rsidP="00DE119B">
                            <w:pPr>
                              <w:pStyle w:val="Sangradetextonormal"/>
                              <w:numPr>
                                <w:ilvl w:val="0"/>
                                <w:numId w:val="1"/>
                              </w:numPr>
                              <w:jc w:val="both"/>
                              <w:rPr>
                                <w:b w:val="0"/>
                                <w:bCs w:val="0"/>
                                <w:sz w:val="19"/>
                                <w:szCs w:val="19"/>
                              </w:rPr>
                            </w:pPr>
                            <w:r>
                              <w:rPr>
                                <w:b w:val="0"/>
                                <w:bCs w:val="0"/>
                                <w:sz w:val="19"/>
                                <w:szCs w:val="19"/>
                              </w:rPr>
                              <w:t>Madrid, País Vasco y Navarra son las CCAA con un mayor gasto medio por hogar, frente a Extremadura, Canarias y Castilla y León</w:t>
                            </w:r>
                          </w:p>
                          <w:p w:rsidR="003F0B98" w:rsidRPr="003F0B98" w:rsidRDefault="003F0B98" w:rsidP="003F0B98">
                            <w:pPr>
                              <w:pStyle w:val="Prrafodelista"/>
                              <w:rPr>
                                <w:b/>
                                <w:bCs/>
                                <w:sz w:val="12"/>
                                <w:szCs w:val="12"/>
                              </w:rPr>
                            </w:pPr>
                          </w:p>
                          <w:p w:rsidR="003F0B98" w:rsidRPr="003F0B98" w:rsidRDefault="003F0B98" w:rsidP="003F0B98">
                            <w:pPr>
                              <w:pStyle w:val="Sangradetextonormal"/>
                              <w:numPr>
                                <w:ilvl w:val="0"/>
                                <w:numId w:val="1"/>
                              </w:numPr>
                              <w:jc w:val="both"/>
                              <w:rPr>
                                <w:b w:val="0"/>
                                <w:bCs w:val="0"/>
                                <w:sz w:val="19"/>
                                <w:szCs w:val="19"/>
                              </w:rPr>
                            </w:pPr>
                            <w:r>
                              <w:rPr>
                                <w:b w:val="0"/>
                                <w:bCs w:val="0"/>
                                <w:sz w:val="19"/>
                                <w:szCs w:val="19"/>
                              </w:rPr>
                              <w:t xml:space="preserve">Destacado del Mes, José Antonio </w:t>
                            </w:r>
                            <w:proofErr w:type="spellStart"/>
                            <w:r>
                              <w:rPr>
                                <w:b w:val="0"/>
                                <w:bCs w:val="0"/>
                                <w:sz w:val="19"/>
                                <w:szCs w:val="19"/>
                              </w:rPr>
                              <w:t>Herce</w:t>
                            </w:r>
                            <w:proofErr w:type="spellEnd"/>
                            <w:r>
                              <w:rPr>
                                <w:b w:val="0"/>
                                <w:bCs w:val="0"/>
                                <w:sz w:val="19"/>
                                <w:szCs w:val="19"/>
                              </w:rPr>
                              <w:t>: “…</w:t>
                            </w:r>
                            <w:r w:rsidRPr="003F0B98">
                              <w:rPr>
                                <w:rFonts w:cs="Arial"/>
                                <w:b w:val="0"/>
                                <w:i/>
                                <w:sz w:val="18"/>
                                <w:szCs w:val="18"/>
                              </w:rPr>
                              <w:t>sólo una iniciativa masiva, unánime e inmediata contra el paro detendrá la sangría que no cesa en el mercado de trabajo español</w:t>
                            </w:r>
                            <w:r>
                              <w:rPr>
                                <w:rFonts w:cs="Arial"/>
                                <w:b w:val="0"/>
                                <w:i/>
                                <w:sz w:val="18"/>
                                <w:szCs w:val="18"/>
                              </w:rPr>
                              <w:t>...</w:t>
                            </w:r>
                            <w:r w:rsidRPr="003F0B98">
                              <w:rPr>
                                <w:rFonts w:cs="Arial"/>
                                <w:b w:val="0"/>
                                <w:i/>
                                <w:sz w:val="18"/>
                                <w:szCs w:val="18"/>
                              </w:rPr>
                              <w:t>”</w:t>
                            </w:r>
                          </w:p>
                          <w:p w:rsidR="00EF2E44" w:rsidRPr="003F0B98" w:rsidRDefault="00EF2E44" w:rsidP="00DE119B">
                            <w:pPr>
                              <w:pStyle w:val="Prrafodelista"/>
                              <w:rPr>
                                <w:bCs/>
                                <w:sz w:val="11"/>
                                <w:szCs w:val="11"/>
                              </w:rPr>
                            </w:pPr>
                          </w:p>
                          <w:p w:rsidR="00EF2E44" w:rsidRPr="00F44B2E" w:rsidRDefault="00EF2E44" w:rsidP="00DE119B">
                            <w:pPr>
                              <w:pStyle w:val="Prrafodelista"/>
                              <w:rPr>
                                <w:b/>
                                <w:bCs/>
                                <w:sz w:val="11"/>
                                <w:szCs w:val="11"/>
                              </w:rPr>
                            </w:pPr>
                          </w:p>
                          <w:p w:rsidR="00EF2E44" w:rsidRPr="004F6D41" w:rsidRDefault="00EF2E44" w:rsidP="00DE119B">
                            <w:pPr>
                              <w:pStyle w:val="Sangradetextonormal"/>
                              <w:jc w:val="both"/>
                              <w:rPr>
                                <w:b w:val="0"/>
                                <w:bCs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5pt;margin-top:17pt;width:486.55pt;height:28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" fillcolor="#f8f8f8" strokecolor="silver">
                <v:stroke dashstyle="1 1" endcap="round"/>
                <v:textbox>
                  <w:txbxContent>
                    <w:p w:rsidR="00EF2E44" w:rsidRPr="003A70E7" w:rsidRDefault="00EF2E44" w:rsidP="00DE119B">
                      <w:pPr>
                        <w:pStyle w:val="Sangradetextonormal"/>
                        <w:ind w:left="0"/>
                        <w:jc w:val="both"/>
                        <w:rPr>
                          <w:b w:val="0"/>
                          <w:bCs w:val="0"/>
                          <w:sz w:val="2"/>
                          <w:szCs w:val="2"/>
                        </w:rPr>
                      </w:pPr>
                    </w:p>
                    <w:p w:rsidR="00EF2E44" w:rsidRDefault="00EF2E44" w:rsidP="00DE119B">
                      <w:pPr>
                        <w:pStyle w:val="Sangradetextonormal"/>
                        <w:numPr>
                          <w:ilvl w:val="0"/>
                          <w:numId w:val="1"/>
                        </w:numPr>
                        <w:jc w:val="both"/>
                        <w:rPr>
                          <w:b w:val="0"/>
                          <w:bCs w:val="0"/>
                          <w:sz w:val="19"/>
                          <w:szCs w:val="19"/>
                        </w:rPr>
                      </w:pPr>
                      <w:r w:rsidRPr="001B6DD8">
                        <w:rPr>
                          <w:b w:val="0"/>
                          <w:bCs w:val="0"/>
                          <w:sz w:val="19"/>
                          <w:szCs w:val="19"/>
                        </w:rPr>
                        <w:t xml:space="preserve">El indicador AML </w:t>
                      </w:r>
                      <w:proofErr w:type="spellStart"/>
                      <w:r w:rsidRPr="001B6DD8">
                        <w:rPr>
                          <w:b w:val="0"/>
                          <w:bCs w:val="0"/>
                          <w:sz w:val="19"/>
                          <w:szCs w:val="19"/>
                        </w:rPr>
                        <w:t>Afi</w:t>
                      </w:r>
                      <w:proofErr w:type="spellEnd"/>
                      <w:r w:rsidRPr="001B6DD8">
                        <w:rPr>
                          <w:b w:val="0"/>
                          <w:bCs w:val="0"/>
                          <w:sz w:val="19"/>
                          <w:szCs w:val="19"/>
                        </w:rPr>
                        <w:t>-AGETT prevé una caída de la ocupación del -</w:t>
                      </w:r>
                      <w:r>
                        <w:rPr>
                          <w:b w:val="0"/>
                          <w:bCs w:val="0"/>
                          <w:sz w:val="19"/>
                          <w:szCs w:val="19"/>
                        </w:rPr>
                        <w:t>2,7</w:t>
                      </w:r>
                      <w:r w:rsidRPr="001B6DD8">
                        <w:rPr>
                          <w:b w:val="0"/>
                          <w:bCs w:val="0"/>
                          <w:sz w:val="19"/>
                          <w:szCs w:val="19"/>
                        </w:rPr>
                        <w:t xml:space="preserve">% en </w:t>
                      </w:r>
                      <w:r>
                        <w:rPr>
                          <w:b w:val="0"/>
                          <w:bCs w:val="0"/>
                          <w:sz w:val="19"/>
                          <w:szCs w:val="19"/>
                        </w:rPr>
                        <w:t>enero, llegando a un nuevo mínimo con 17,7 millones de ocupados</w:t>
                      </w:r>
                    </w:p>
                    <w:p w:rsidR="00EF2E44" w:rsidRPr="00EF2E44" w:rsidRDefault="00EF2E44" w:rsidP="00B54855">
                      <w:pPr>
                        <w:pStyle w:val="Sangradetextonormal"/>
                        <w:jc w:val="both"/>
                        <w:rPr>
                          <w:b w:val="0"/>
                          <w:bCs w:val="0"/>
                          <w:sz w:val="12"/>
                          <w:szCs w:val="12"/>
                        </w:rPr>
                      </w:pPr>
                    </w:p>
                    <w:p w:rsidR="00EF2E44" w:rsidRDefault="00EF2E44" w:rsidP="00DE119B">
                      <w:pPr>
                        <w:pStyle w:val="Sangradetextonormal"/>
                        <w:numPr>
                          <w:ilvl w:val="0"/>
                          <w:numId w:val="1"/>
                        </w:numPr>
                        <w:jc w:val="both"/>
                        <w:rPr>
                          <w:b w:val="0"/>
                          <w:bCs w:val="0"/>
                          <w:sz w:val="19"/>
                          <w:szCs w:val="19"/>
                        </w:rPr>
                      </w:pPr>
                      <w:r>
                        <w:rPr>
                          <w:b w:val="0"/>
                          <w:bCs w:val="0"/>
                          <w:sz w:val="19"/>
                          <w:szCs w:val="19"/>
                        </w:rPr>
                        <w:t>En el IIITR11 El paro ha sido especialmente severo con aquellas persona</w:t>
                      </w:r>
                      <w:r w:rsidR="00352A93">
                        <w:rPr>
                          <w:b w:val="0"/>
                          <w:bCs w:val="0"/>
                          <w:sz w:val="19"/>
                          <w:szCs w:val="19"/>
                        </w:rPr>
                        <w:t xml:space="preserve">s que provenían de la educación, </w:t>
                      </w:r>
                      <w:r>
                        <w:rPr>
                          <w:b w:val="0"/>
                          <w:bCs w:val="0"/>
                          <w:sz w:val="19"/>
                          <w:szCs w:val="19"/>
                        </w:rPr>
                        <w:t>personas sin empleo anterior y aquellas que dejaron su empleo hace más de un año</w:t>
                      </w:r>
                    </w:p>
                    <w:p w:rsidR="00EF2E44" w:rsidRPr="00EF2E44" w:rsidRDefault="00EF2E44" w:rsidP="00EF2E44">
                      <w:pPr>
                        <w:pStyle w:val="Prrafodelista"/>
                        <w:rPr>
                          <w:b/>
                          <w:bCs/>
                          <w:sz w:val="12"/>
                          <w:szCs w:val="12"/>
                        </w:rPr>
                      </w:pPr>
                    </w:p>
                    <w:p w:rsidR="00EF2E44" w:rsidRDefault="00EF2E44" w:rsidP="00DE119B">
                      <w:pPr>
                        <w:pStyle w:val="Sangradetextonormal"/>
                        <w:numPr>
                          <w:ilvl w:val="0"/>
                          <w:numId w:val="1"/>
                        </w:numPr>
                        <w:jc w:val="both"/>
                        <w:rPr>
                          <w:b w:val="0"/>
                          <w:bCs w:val="0"/>
                          <w:sz w:val="19"/>
                          <w:szCs w:val="19"/>
                        </w:rPr>
                      </w:pPr>
                      <w:r>
                        <w:rPr>
                          <w:b w:val="0"/>
                          <w:bCs w:val="0"/>
                          <w:sz w:val="19"/>
                          <w:szCs w:val="19"/>
                        </w:rPr>
                        <w:t>Los desplazados del mercado laboral se sitúan cerca de los 6,7% y se han incrementado en un 8,1% respecto al año anterior</w:t>
                      </w:r>
                    </w:p>
                    <w:p w:rsidR="00EF2E44" w:rsidRPr="00EF2E44" w:rsidRDefault="00EF2E44" w:rsidP="00EF2E44">
                      <w:pPr>
                        <w:pStyle w:val="Prrafodelista"/>
                        <w:rPr>
                          <w:b/>
                          <w:bCs/>
                          <w:sz w:val="12"/>
                          <w:szCs w:val="12"/>
                        </w:rPr>
                      </w:pPr>
                    </w:p>
                    <w:p w:rsidR="00EF2E44" w:rsidRDefault="00EF2E44" w:rsidP="00DE119B">
                      <w:pPr>
                        <w:pStyle w:val="Sangradetextonormal"/>
                        <w:numPr>
                          <w:ilvl w:val="0"/>
                          <w:numId w:val="1"/>
                        </w:numPr>
                        <w:jc w:val="both"/>
                        <w:rPr>
                          <w:b w:val="0"/>
                          <w:bCs w:val="0"/>
                          <w:sz w:val="19"/>
                          <w:szCs w:val="19"/>
                        </w:rPr>
                      </w:pPr>
                      <w:r>
                        <w:rPr>
                          <w:b w:val="0"/>
                          <w:bCs w:val="0"/>
                          <w:sz w:val="19"/>
                          <w:szCs w:val="19"/>
                        </w:rPr>
                        <w:t>El gasto medio por hogar en nuestro país se ha reducido en un 6,9% desde que comenzó la crisis (2007)</w:t>
                      </w:r>
                    </w:p>
                    <w:p w:rsidR="00EF2E44" w:rsidRPr="00EF2E44" w:rsidRDefault="00EF2E44" w:rsidP="00EF2E44">
                      <w:pPr>
                        <w:pStyle w:val="Prrafodelista"/>
                        <w:rPr>
                          <w:b/>
                          <w:bCs/>
                          <w:sz w:val="12"/>
                          <w:szCs w:val="12"/>
                        </w:rPr>
                      </w:pPr>
                    </w:p>
                    <w:p w:rsidR="00EF2E44" w:rsidRPr="003F0B98" w:rsidRDefault="00EF2E44" w:rsidP="00DE119B">
                      <w:pPr>
                        <w:pStyle w:val="Sangradetextonormal"/>
                        <w:numPr>
                          <w:ilvl w:val="0"/>
                          <w:numId w:val="1"/>
                        </w:numPr>
                        <w:jc w:val="both"/>
                        <w:rPr>
                          <w:b w:val="0"/>
                          <w:bCs w:val="0"/>
                          <w:sz w:val="19"/>
                          <w:szCs w:val="19"/>
                        </w:rPr>
                      </w:pPr>
                      <w:r>
                        <w:rPr>
                          <w:b w:val="0"/>
                          <w:bCs w:val="0"/>
                          <w:sz w:val="19"/>
                          <w:szCs w:val="19"/>
                        </w:rPr>
                        <w:t xml:space="preserve">Cae el presupuesto destinado a todas las partidas salvo las asociadas con </w:t>
                      </w:r>
                      <w:r w:rsidRPr="00EF2E44">
                        <w:rPr>
                          <w:b w:val="0"/>
                          <w:bCs w:val="0"/>
                          <w:i/>
                          <w:sz w:val="19"/>
                          <w:szCs w:val="19"/>
                        </w:rPr>
                        <w:t>Vivienda</w:t>
                      </w:r>
                      <w:r w:rsidR="003F0B98" w:rsidRPr="003F0B98">
                        <w:rPr>
                          <w:b w:val="0"/>
                          <w:bCs w:val="0"/>
                          <w:sz w:val="19"/>
                          <w:szCs w:val="19"/>
                        </w:rPr>
                        <w:t xml:space="preserve"> (9%)</w:t>
                      </w:r>
                      <w:r w:rsidRPr="003F0B98">
                        <w:rPr>
                          <w:b w:val="0"/>
                          <w:bCs w:val="0"/>
                          <w:sz w:val="19"/>
                          <w:szCs w:val="19"/>
                        </w:rPr>
                        <w:t>,</w:t>
                      </w:r>
                      <w:r>
                        <w:rPr>
                          <w:b w:val="0"/>
                          <w:bCs w:val="0"/>
                          <w:sz w:val="19"/>
                          <w:szCs w:val="19"/>
                        </w:rPr>
                        <w:t xml:space="preserve"> </w:t>
                      </w:r>
                      <w:r w:rsidRPr="00EF2E44">
                        <w:rPr>
                          <w:b w:val="0"/>
                          <w:bCs w:val="0"/>
                          <w:i/>
                          <w:sz w:val="19"/>
                          <w:szCs w:val="19"/>
                        </w:rPr>
                        <w:t>Enseñanza</w:t>
                      </w:r>
                      <w:r w:rsidR="003F0B98">
                        <w:rPr>
                          <w:b w:val="0"/>
                          <w:bCs w:val="0"/>
                          <w:i/>
                          <w:sz w:val="19"/>
                          <w:szCs w:val="19"/>
                        </w:rPr>
                        <w:t xml:space="preserve"> </w:t>
                      </w:r>
                      <w:r w:rsidR="003F0B98" w:rsidRPr="003F0B98">
                        <w:rPr>
                          <w:b w:val="0"/>
                          <w:bCs w:val="0"/>
                          <w:sz w:val="19"/>
                          <w:szCs w:val="19"/>
                        </w:rPr>
                        <w:t>(6,6%)</w:t>
                      </w:r>
                      <w:r>
                        <w:rPr>
                          <w:b w:val="0"/>
                          <w:bCs w:val="0"/>
                          <w:sz w:val="19"/>
                          <w:szCs w:val="19"/>
                        </w:rPr>
                        <w:t xml:space="preserve"> </w:t>
                      </w:r>
                      <w:r w:rsidRPr="003F0B98">
                        <w:rPr>
                          <w:b w:val="0"/>
                          <w:bCs w:val="0"/>
                          <w:sz w:val="19"/>
                          <w:szCs w:val="19"/>
                        </w:rPr>
                        <w:t xml:space="preserve">y </w:t>
                      </w:r>
                      <w:r w:rsidRPr="00EF2E44">
                        <w:rPr>
                          <w:b w:val="0"/>
                          <w:bCs w:val="0"/>
                          <w:i/>
                          <w:sz w:val="19"/>
                          <w:szCs w:val="19"/>
                        </w:rPr>
                        <w:t>Bebidas alcohólicas y tabaco</w:t>
                      </w:r>
                      <w:r w:rsidR="003F0B98">
                        <w:rPr>
                          <w:b w:val="0"/>
                          <w:bCs w:val="0"/>
                          <w:i/>
                          <w:sz w:val="19"/>
                          <w:szCs w:val="19"/>
                        </w:rPr>
                        <w:t xml:space="preserve"> </w:t>
                      </w:r>
                      <w:r w:rsidR="003F0B98" w:rsidRPr="003F0B98">
                        <w:rPr>
                          <w:b w:val="0"/>
                          <w:bCs w:val="0"/>
                          <w:sz w:val="19"/>
                          <w:szCs w:val="19"/>
                        </w:rPr>
                        <w:t>(4,4%)</w:t>
                      </w:r>
                    </w:p>
                    <w:p w:rsidR="00EF2E44" w:rsidRPr="00EF2E44" w:rsidRDefault="00EF2E44" w:rsidP="00EF2E44">
                      <w:pPr>
                        <w:pStyle w:val="Prrafodelista"/>
                        <w:rPr>
                          <w:b/>
                          <w:bCs/>
                          <w:sz w:val="12"/>
                          <w:szCs w:val="12"/>
                        </w:rPr>
                      </w:pPr>
                    </w:p>
                    <w:p w:rsidR="00EF2E44" w:rsidRPr="003F0B98" w:rsidRDefault="00EF2E44" w:rsidP="00DE119B">
                      <w:pPr>
                        <w:pStyle w:val="Sangradetextonormal"/>
                        <w:numPr>
                          <w:ilvl w:val="0"/>
                          <w:numId w:val="1"/>
                        </w:numPr>
                        <w:jc w:val="both"/>
                        <w:rPr>
                          <w:b w:val="0"/>
                          <w:bCs w:val="0"/>
                          <w:sz w:val="19"/>
                          <w:szCs w:val="19"/>
                        </w:rPr>
                      </w:pPr>
                      <w:r>
                        <w:rPr>
                          <w:b w:val="0"/>
                          <w:bCs w:val="0"/>
                          <w:sz w:val="19"/>
                          <w:szCs w:val="19"/>
                        </w:rPr>
                        <w:t>Las familia</w:t>
                      </w:r>
                      <w:r w:rsidR="003F0B98">
                        <w:rPr>
                          <w:b w:val="0"/>
                          <w:bCs w:val="0"/>
                          <w:sz w:val="19"/>
                          <w:szCs w:val="19"/>
                        </w:rPr>
                        <w:t>s</w:t>
                      </w:r>
                      <w:r>
                        <w:rPr>
                          <w:b w:val="0"/>
                          <w:bCs w:val="0"/>
                          <w:sz w:val="19"/>
                          <w:szCs w:val="19"/>
                        </w:rPr>
                        <w:t xml:space="preserve"> gas</w:t>
                      </w:r>
                      <w:r w:rsidR="003F0B98">
                        <w:rPr>
                          <w:b w:val="0"/>
                          <w:bCs w:val="0"/>
                          <w:sz w:val="19"/>
                          <w:szCs w:val="19"/>
                        </w:rPr>
                        <w:t xml:space="preserve">tan de media un 20,4% menos en </w:t>
                      </w:r>
                      <w:r w:rsidR="0059519D">
                        <w:rPr>
                          <w:b w:val="0"/>
                          <w:bCs w:val="0"/>
                          <w:sz w:val="19"/>
                          <w:szCs w:val="19"/>
                        </w:rPr>
                        <w:t>“</w:t>
                      </w:r>
                      <w:r w:rsidR="003F0B98" w:rsidRPr="003F0B98">
                        <w:rPr>
                          <w:b w:val="0"/>
                          <w:bCs w:val="0"/>
                          <w:i/>
                          <w:sz w:val="19"/>
                          <w:szCs w:val="19"/>
                        </w:rPr>
                        <w:t>V</w:t>
                      </w:r>
                      <w:r w:rsidRPr="003F0B98">
                        <w:rPr>
                          <w:b w:val="0"/>
                          <w:bCs w:val="0"/>
                          <w:i/>
                          <w:sz w:val="19"/>
                          <w:szCs w:val="19"/>
                        </w:rPr>
                        <w:t>estimenta</w:t>
                      </w:r>
                      <w:r w:rsidR="0059519D">
                        <w:rPr>
                          <w:b w:val="0"/>
                          <w:bCs w:val="0"/>
                          <w:i/>
                          <w:sz w:val="19"/>
                          <w:szCs w:val="19"/>
                        </w:rPr>
                        <w:t>”</w:t>
                      </w:r>
                      <w:r w:rsidR="003F0B98">
                        <w:rPr>
                          <w:b w:val="0"/>
                          <w:bCs w:val="0"/>
                          <w:sz w:val="19"/>
                          <w:szCs w:val="19"/>
                        </w:rPr>
                        <w:t xml:space="preserve">, y un 19,9% menos en </w:t>
                      </w:r>
                      <w:r w:rsidR="0059519D">
                        <w:rPr>
                          <w:b w:val="0"/>
                          <w:bCs w:val="0"/>
                          <w:sz w:val="19"/>
                          <w:szCs w:val="19"/>
                        </w:rPr>
                        <w:t>“</w:t>
                      </w:r>
                      <w:r w:rsidR="003F0B98" w:rsidRPr="003F0B98">
                        <w:rPr>
                          <w:b w:val="0"/>
                          <w:bCs w:val="0"/>
                          <w:i/>
                          <w:sz w:val="19"/>
                          <w:szCs w:val="19"/>
                        </w:rPr>
                        <w:t>T</w:t>
                      </w:r>
                      <w:r w:rsidRPr="003F0B98">
                        <w:rPr>
                          <w:b w:val="0"/>
                          <w:bCs w:val="0"/>
                          <w:i/>
                          <w:sz w:val="19"/>
                          <w:szCs w:val="19"/>
                        </w:rPr>
                        <w:t>ransportes</w:t>
                      </w:r>
                      <w:r w:rsidR="0059519D">
                        <w:rPr>
                          <w:b w:val="0"/>
                          <w:bCs w:val="0"/>
                          <w:i/>
                          <w:sz w:val="19"/>
                          <w:szCs w:val="19"/>
                        </w:rPr>
                        <w:t>”</w:t>
                      </w:r>
                      <w:r>
                        <w:rPr>
                          <w:b w:val="0"/>
                          <w:bCs w:val="0"/>
                          <w:sz w:val="19"/>
                          <w:szCs w:val="19"/>
                        </w:rPr>
                        <w:t xml:space="preserve"> y </w:t>
                      </w:r>
                      <w:r w:rsidR="0059519D">
                        <w:rPr>
                          <w:b w:val="0"/>
                          <w:bCs w:val="0"/>
                          <w:sz w:val="19"/>
                          <w:szCs w:val="19"/>
                        </w:rPr>
                        <w:t>“</w:t>
                      </w:r>
                      <w:r w:rsidR="003F0B98" w:rsidRPr="003F0B98">
                        <w:rPr>
                          <w:b w:val="0"/>
                          <w:bCs w:val="0"/>
                          <w:i/>
                          <w:sz w:val="19"/>
                          <w:szCs w:val="19"/>
                        </w:rPr>
                        <w:t>Mobiliario y equipamiento para el hogar</w:t>
                      </w:r>
                      <w:r w:rsidR="0059519D">
                        <w:rPr>
                          <w:b w:val="0"/>
                          <w:bCs w:val="0"/>
                          <w:i/>
                          <w:sz w:val="19"/>
                          <w:szCs w:val="19"/>
                        </w:rPr>
                        <w:t>”</w:t>
                      </w:r>
                    </w:p>
                    <w:p w:rsidR="003F0B98" w:rsidRPr="003F0B98" w:rsidRDefault="003F0B98" w:rsidP="003F0B98">
                      <w:pPr>
                        <w:pStyle w:val="Prrafodelista"/>
                        <w:rPr>
                          <w:b/>
                          <w:bCs/>
                          <w:sz w:val="12"/>
                          <w:szCs w:val="12"/>
                        </w:rPr>
                      </w:pPr>
                    </w:p>
                    <w:p w:rsidR="003F0B98" w:rsidRDefault="003F0B98" w:rsidP="00DE119B">
                      <w:pPr>
                        <w:pStyle w:val="Sangradetextonormal"/>
                        <w:numPr>
                          <w:ilvl w:val="0"/>
                          <w:numId w:val="1"/>
                        </w:numPr>
                        <w:jc w:val="both"/>
                        <w:rPr>
                          <w:b w:val="0"/>
                          <w:bCs w:val="0"/>
                          <w:sz w:val="19"/>
                          <w:szCs w:val="19"/>
                        </w:rPr>
                      </w:pPr>
                      <w:r>
                        <w:rPr>
                          <w:b w:val="0"/>
                          <w:bCs w:val="0"/>
                          <w:sz w:val="19"/>
                          <w:szCs w:val="19"/>
                        </w:rPr>
                        <w:t>Madrid, País Vasco y Navarra son las CCAA con un mayor gasto medio por hogar, frente a Extremadura, Canarias y Castilla y León</w:t>
                      </w:r>
                    </w:p>
                    <w:p w:rsidR="003F0B98" w:rsidRPr="003F0B98" w:rsidRDefault="003F0B98" w:rsidP="003F0B98">
                      <w:pPr>
                        <w:pStyle w:val="Prrafodelista"/>
                        <w:rPr>
                          <w:b/>
                          <w:bCs/>
                          <w:sz w:val="12"/>
                          <w:szCs w:val="12"/>
                        </w:rPr>
                      </w:pPr>
                    </w:p>
                    <w:p w:rsidR="003F0B98" w:rsidRPr="003F0B98" w:rsidRDefault="003F0B98" w:rsidP="003F0B98">
                      <w:pPr>
                        <w:pStyle w:val="Sangradetextonormal"/>
                        <w:numPr>
                          <w:ilvl w:val="0"/>
                          <w:numId w:val="1"/>
                        </w:numPr>
                        <w:jc w:val="both"/>
                        <w:rPr>
                          <w:b w:val="0"/>
                          <w:bCs w:val="0"/>
                          <w:sz w:val="19"/>
                          <w:szCs w:val="19"/>
                        </w:rPr>
                      </w:pPr>
                      <w:r>
                        <w:rPr>
                          <w:b w:val="0"/>
                          <w:bCs w:val="0"/>
                          <w:sz w:val="19"/>
                          <w:szCs w:val="19"/>
                        </w:rPr>
                        <w:t xml:space="preserve">Destacado del Mes, José Antonio </w:t>
                      </w:r>
                      <w:proofErr w:type="spellStart"/>
                      <w:r>
                        <w:rPr>
                          <w:b w:val="0"/>
                          <w:bCs w:val="0"/>
                          <w:sz w:val="19"/>
                          <w:szCs w:val="19"/>
                        </w:rPr>
                        <w:t>Herce</w:t>
                      </w:r>
                      <w:proofErr w:type="spellEnd"/>
                      <w:r>
                        <w:rPr>
                          <w:b w:val="0"/>
                          <w:bCs w:val="0"/>
                          <w:sz w:val="19"/>
                          <w:szCs w:val="19"/>
                        </w:rPr>
                        <w:t>: “…</w:t>
                      </w:r>
                      <w:r w:rsidRPr="003F0B98">
                        <w:rPr>
                          <w:rFonts w:cs="Arial"/>
                          <w:b w:val="0"/>
                          <w:i/>
                          <w:sz w:val="18"/>
                          <w:szCs w:val="18"/>
                        </w:rPr>
                        <w:t>sólo una iniciativa masiva, unánime e inmediata contra el paro detendrá la sangría que no cesa en el mercado de trabajo español</w:t>
                      </w:r>
                      <w:r>
                        <w:rPr>
                          <w:rFonts w:cs="Arial"/>
                          <w:b w:val="0"/>
                          <w:i/>
                          <w:sz w:val="18"/>
                          <w:szCs w:val="18"/>
                        </w:rPr>
                        <w:t>...</w:t>
                      </w:r>
                      <w:r w:rsidRPr="003F0B98">
                        <w:rPr>
                          <w:rFonts w:cs="Arial"/>
                          <w:b w:val="0"/>
                          <w:i/>
                          <w:sz w:val="18"/>
                          <w:szCs w:val="18"/>
                        </w:rPr>
                        <w:t>”</w:t>
                      </w:r>
                    </w:p>
                    <w:p w:rsidR="00EF2E44" w:rsidRPr="003F0B98" w:rsidRDefault="00EF2E44" w:rsidP="00DE119B">
                      <w:pPr>
                        <w:pStyle w:val="Prrafodelista"/>
                        <w:rPr>
                          <w:bCs/>
                          <w:sz w:val="11"/>
                          <w:szCs w:val="11"/>
                        </w:rPr>
                      </w:pPr>
                    </w:p>
                    <w:p w:rsidR="00EF2E44" w:rsidRPr="00F44B2E" w:rsidRDefault="00EF2E44" w:rsidP="00DE119B">
                      <w:pPr>
                        <w:pStyle w:val="Prrafodelista"/>
                        <w:rPr>
                          <w:b/>
                          <w:bCs/>
                          <w:sz w:val="11"/>
                          <w:szCs w:val="11"/>
                        </w:rPr>
                      </w:pPr>
                    </w:p>
                    <w:p w:rsidR="00EF2E44" w:rsidRPr="004F6D41" w:rsidRDefault="00EF2E44" w:rsidP="00DE119B">
                      <w:pPr>
                        <w:pStyle w:val="Sangradetextonormal"/>
                        <w:jc w:val="both"/>
                        <w:rPr>
                          <w:b w:val="0"/>
                          <w:bCs w:val="0"/>
                        </w:rPr>
                      </w:pPr>
                    </w:p>
                  </w:txbxContent>
                </v:textbox>
                <w10:wrap type="square"/>
              </v:rect>
            </w:pict>
          </mc:Fallback>
        </mc:AlternateContent>
      </w:r>
      <w:r w:rsidR="007C091E">
        <w:rPr>
          <w:noProof/>
          <w:color w:val="0000FF"/>
          <w:sz w:val="20"/>
          <w:szCs w:val="20"/>
        </w:rPr>
        <w:t>QUE AL INICIO DE LA CRISIS</w:t>
      </w:r>
    </w:p>
    <w:p w:rsidR="003D56D9" w:rsidRPr="0086767D" w:rsidRDefault="003D56D9" w:rsidP="00DE119B">
      <w:pPr>
        <w:ind w:right="-81"/>
        <w:jc w:val="both"/>
        <w:rPr>
          <w:rFonts w:cs="Arial"/>
          <w:b/>
          <w:color w:val="FF0000"/>
          <w:sz w:val="16"/>
          <w:szCs w:val="16"/>
          <w:u w:val="single"/>
        </w:rPr>
      </w:pPr>
    </w:p>
    <w:p w:rsidR="00DE119B" w:rsidRPr="00EF2E44" w:rsidRDefault="00DE119B" w:rsidP="00295A84">
      <w:pPr>
        <w:pStyle w:val="Prrafodelista"/>
        <w:numPr>
          <w:ilvl w:val="0"/>
          <w:numId w:val="2"/>
        </w:numPr>
        <w:jc w:val="both"/>
        <w:rPr>
          <w:rFonts w:cs="Arial"/>
          <w:b/>
          <w:color w:val="000080"/>
          <w:sz w:val="19"/>
          <w:szCs w:val="19"/>
        </w:rPr>
      </w:pPr>
      <w:r w:rsidRPr="00EF2E44">
        <w:rPr>
          <w:rFonts w:cs="Arial"/>
          <w:b/>
          <w:color w:val="000080"/>
          <w:sz w:val="19"/>
          <w:szCs w:val="19"/>
        </w:rPr>
        <w:t xml:space="preserve">El Indicador AML </w:t>
      </w:r>
      <w:proofErr w:type="spellStart"/>
      <w:r w:rsidRPr="00EF2E44">
        <w:rPr>
          <w:rFonts w:cs="Arial"/>
          <w:b/>
          <w:color w:val="000080"/>
          <w:sz w:val="19"/>
          <w:szCs w:val="19"/>
        </w:rPr>
        <w:t>Afi</w:t>
      </w:r>
      <w:proofErr w:type="spellEnd"/>
      <w:r w:rsidRPr="00EF2E44">
        <w:rPr>
          <w:rFonts w:cs="Arial"/>
          <w:b/>
          <w:color w:val="000080"/>
          <w:sz w:val="19"/>
          <w:szCs w:val="19"/>
        </w:rPr>
        <w:t>-AGETT prevé una caída de la ocupación del -</w:t>
      </w:r>
      <w:r w:rsidR="00027526" w:rsidRPr="00EF2E44">
        <w:rPr>
          <w:rFonts w:cs="Arial"/>
          <w:b/>
          <w:color w:val="000080"/>
          <w:sz w:val="19"/>
          <w:szCs w:val="19"/>
        </w:rPr>
        <w:t>2,7</w:t>
      </w:r>
      <w:r w:rsidRPr="00EF2E44">
        <w:rPr>
          <w:rFonts w:cs="Arial"/>
          <w:b/>
          <w:color w:val="000080"/>
          <w:sz w:val="19"/>
          <w:szCs w:val="19"/>
        </w:rPr>
        <w:t xml:space="preserve">% interanual </w:t>
      </w:r>
      <w:r w:rsidR="00027526" w:rsidRPr="00EF2E44">
        <w:rPr>
          <w:rFonts w:cs="Arial"/>
          <w:b/>
          <w:color w:val="000080"/>
          <w:sz w:val="19"/>
          <w:szCs w:val="19"/>
        </w:rPr>
        <w:t>en enero</w:t>
      </w:r>
      <w:r w:rsidRPr="00EF2E44">
        <w:rPr>
          <w:rFonts w:cs="Arial"/>
          <w:b/>
          <w:color w:val="000080"/>
          <w:sz w:val="19"/>
          <w:szCs w:val="19"/>
        </w:rPr>
        <w:t xml:space="preserve">, </w:t>
      </w:r>
      <w:r w:rsidR="00027526" w:rsidRPr="00EF2E44">
        <w:rPr>
          <w:rFonts w:cs="Arial"/>
          <w:b/>
          <w:color w:val="000080"/>
          <w:sz w:val="19"/>
          <w:szCs w:val="19"/>
        </w:rPr>
        <w:t>alcanzando un nuevo mínimo de 17,7 millones de ocupados</w:t>
      </w:r>
    </w:p>
    <w:p w:rsidR="00DE119B" w:rsidRPr="00551825" w:rsidRDefault="00DE119B" w:rsidP="00DE119B">
      <w:pPr>
        <w:ind w:right="-81"/>
        <w:jc w:val="both"/>
        <w:rPr>
          <w:rFonts w:cs="Arial"/>
          <w:b/>
          <w:color w:val="000080"/>
          <w:sz w:val="12"/>
          <w:szCs w:val="12"/>
          <w:u w:val="single"/>
        </w:rPr>
      </w:pPr>
    </w:p>
    <w:p w:rsidR="00DE119B" w:rsidRDefault="00027526" w:rsidP="00DE119B">
      <w:pPr>
        <w:ind w:right="-81"/>
        <w:jc w:val="both"/>
        <w:rPr>
          <w:rFonts w:cs="Arial"/>
          <w:sz w:val="19"/>
          <w:szCs w:val="19"/>
        </w:rPr>
      </w:pPr>
      <w:r>
        <w:rPr>
          <w:rFonts w:cs="Arial"/>
          <w:sz w:val="19"/>
          <w:szCs w:val="19"/>
        </w:rPr>
        <w:t>Los resultados de la EPA del tercer trimestre han resu</w:t>
      </w:r>
      <w:r w:rsidR="00A32287">
        <w:rPr>
          <w:rFonts w:cs="Arial"/>
          <w:sz w:val="19"/>
          <w:szCs w:val="19"/>
        </w:rPr>
        <w:t>ltado mucho peor de lo esperado</w:t>
      </w:r>
      <w:r>
        <w:rPr>
          <w:rFonts w:cs="Arial"/>
          <w:sz w:val="19"/>
          <w:szCs w:val="19"/>
        </w:rPr>
        <w:t xml:space="preserve"> y han vuelto a poner a la economía española a las puertas de la recesión. Cabe destacar el hecho de que el ajuste en el empleo está empezando a recaer en aquellos colectivos que estaban sorteando la crisis de una manera relativamente buena (asalariados públicos, personal doméstico o empleo femenino), lo que apunta a un claro riesgo de asistir a una nueva recaída de la ocupación en los próximos trimestres.</w:t>
      </w:r>
    </w:p>
    <w:p w:rsidR="00027526" w:rsidRPr="00CA4B9B" w:rsidRDefault="00027526" w:rsidP="00DE119B">
      <w:pPr>
        <w:ind w:right="-81"/>
        <w:jc w:val="both"/>
        <w:rPr>
          <w:rFonts w:cs="Arial"/>
          <w:sz w:val="12"/>
          <w:szCs w:val="12"/>
        </w:rPr>
      </w:pPr>
    </w:p>
    <w:p w:rsidR="00027526" w:rsidRPr="00551825" w:rsidRDefault="00027526" w:rsidP="00DE119B">
      <w:pPr>
        <w:ind w:right="-81"/>
        <w:jc w:val="both"/>
        <w:rPr>
          <w:rFonts w:cs="Arial"/>
          <w:sz w:val="19"/>
          <w:szCs w:val="19"/>
        </w:rPr>
      </w:pPr>
      <w:r>
        <w:rPr>
          <w:rFonts w:cs="Arial"/>
          <w:sz w:val="19"/>
          <w:szCs w:val="19"/>
        </w:rPr>
        <w:t xml:space="preserve">El Indicador AML </w:t>
      </w:r>
      <w:proofErr w:type="spellStart"/>
      <w:r>
        <w:rPr>
          <w:rFonts w:cs="Arial"/>
          <w:sz w:val="19"/>
          <w:szCs w:val="19"/>
        </w:rPr>
        <w:t>Afi</w:t>
      </w:r>
      <w:proofErr w:type="spellEnd"/>
      <w:r>
        <w:rPr>
          <w:rFonts w:cs="Arial"/>
          <w:sz w:val="19"/>
          <w:szCs w:val="19"/>
        </w:rPr>
        <w:t xml:space="preserve">-AGETT da cuenta de esta tendencia y prevé nuevas correcciones en la ocupación del -2,7% hasta enero, </w:t>
      </w:r>
      <w:r w:rsidR="009069B8">
        <w:rPr>
          <w:rFonts w:cs="Arial"/>
          <w:sz w:val="19"/>
          <w:szCs w:val="19"/>
        </w:rPr>
        <w:t>situando</w:t>
      </w:r>
      <w:r>
        <w:rPr>
          <w:rFonts w:cs="Arial"/>
          <w:sz w:val="19"/>
          <w:szCs w:val="19"/>
        </w:rPr>
        <w:t xml:space="preserve"> un nuevo mínimo de ocupación del ciclo actual, en los 17,7 millones de ocupados (</w:t>
      </w:r>
      <w:r w:rsidR="009069B8">
        <w:rPr>
          <w:rFonts w:cs="Arial"/>
          <w:sz w:val="19"/>
          <w:szCs w:val="19"/>
        </w:rPr>
        <w:t>El</w:t>
      </w:r>
      <w:r>
        <w:rPr>
          <w:rFonts w:cs="Arial"/>
          <w:sz w:val="19"/>
          <w:szCs w:val="19"/>
        </w:rPr>
        <w:t xml:space="preserve"> nivel más bajo desde</w:t>
      </w:r>
      <w:r w:rsidR="00A32287">
        <w:rPr>
          <w:rFonts w:cs="Arial"/>
          <w:sz w:val="19"/>
          <w:szCs w:val="19"/>
        </w:rPr>
        <w:t xml:space="preserve"> principios de 2004</w:t>
      </w:r>
      <w:r>
        <w:rPr>
          <w:rFonts w:cs="Arial"/>
          <w:sz w:val="19"/>
          <w:szCs w:val="19"/>
        </w:rPr>
        <w:t>)</w:t>
      </w:r>
      <w:r w:rsidR="000301BC">
        <w:rPr>
          <w:rFonts w:cs="Arial"/>
          <w:sz w:val="19"/>
          <w:szCs w:val="19"/>
        </w:rPr>
        <w:t>.</w:t>
      </w:r>
    </w:p>
    <w:p w:rsidR="00DE119B" w:rsidRPr="005F1418" w:rsidRDefault="00DE119B" w:rsidP="00DE119B">
      <w:pPr>
        <w:ind w:right="-81"/>
        <w:jc w:val="both"/>
        <w:rPr>
          <w:rFonts w:cs="Arial"/>
          <w:sz w:val="16"/>
          <w:szCs w:val="16"/>
        </w:rPr>
      </w:pPr>
    </w:p>
    <w:p w:rsidR="00DE119B" w:rsidRPr="00ED5172" w:rsidRDefault="00A32287" w:rsidP="00295A84">
      <w:pPr>
        <w:pStyle w:val="Prrafodelista"/>
        <w:numPr>
          <w:ilvl w:val="0"/>
          <w:numId w:val="2"/>
        </w:numPr>
        <w:ind w:right="-81"/>
        <w:jc w:val="both"/>
        <w:rPr>
          <w:rFonts w:cs="Arial"/>
          <w:b/>
          <w:color w:val="000080"/>
          <w:sz w:val="19"/>
          <w:szCs w:val="19"/>
        </w:rPr>
      </w:pPr>
      <w:r w:rsidRPr="00ED5172">
        <w:rPr>
          <w:rFonts w:cs="Arial"/>
          <w:b/>
          <w:color w:val="000080"/>
          <w:sz w:val="19"/>
          <w:szCs w:val="19"/>
        </w:rPr>
        <w:t>El incremento</w:t>
      </w:r>
      <w:r w:rsidR="00A54117" w:rsidRPr="00ED5172">
        <w:rPr>
          <w:rFonts w:cs="Arial"/>
          <w:b/>
          <w:color w:val="000080"/>
          <w:sz w:val="19"/>
          <w:szCs w:val="19"/>
        </w:rPr>
        <w:t xml:space="preserve"> de</w:t>
      </w:r>
      <w:r w:rsidRPr="00ED5172">
        <w:rPr>
          <w:rFonts w:cs="Arial"/>
          <w:b/>
          <w:color w:val="000080"/>
          <w:sz w:val="19"/>
          <w:szCs w:val="19"/>
        </w:rPr>
        <w:t>l</w:t>
      </w:r>
      <w:r w:rsidR="00D94F5B" w:rsidRPr="00ED5172">
        <w:rPr>
          <w:rFonts w:cs="Arial"/>
          <w:b/>
          <w:color w:val="000080"/>
          <w:sz w:val="19"/>
          <w:szCs w:val="19"/>
        </w:rPr>
        <w:t xml:space="preserve"> paro, en términos absolutos </w:t>
      </w:r>
      <w:r w:rsidR="00A54117" w:rsidRPr="00ED5172">
        <w:rPr>
          <w:rFonts w:cs="Arial"/>
          <w:b/>
          <w:color w:val="000080"/>
          <w:sz w:val="19"/>
          <w:szCs w:val="19"/>
        </w:rPr>
        <w:t xml:space="preserve">se ha cebado con </w:t>
      </w:r>
      <w:r w:rsidR="00D94F5B" w:rsidRPr="00ED5172">
        <w:rPr>
          <w:rFonts w:cs="Arial"/>
          <w:b/>
          <w:color w:val="000080"/>
          <w:sz w:val="19"/>
          <w:szCs w:val="19"/>
        </w:rPr>
        <w:t>principalmente con aquellos parados que buscan su primer empleo y con las personas provenientes de la Educación</w:t>
      </w:r>
    </w:p>
    <w:p w:rsidR="00DE119B" w:rsidRPr="00A32287" w:rsidRDefault="00DE119B" w:rsidP="00DE119B">
      <w:pPr>
        <w:ind w:right="-81"/>
        <w:jc w:val="both"/>
        <w:rPr>
          <w:rFonts w:cs="Arial"/>
          <w:color w:val="FF0000"/>
          <w:sz w:val="10"/>
          <w:szCs w:val="10"/>
        </w:rPr>
      </w:pPr>
    </w:p>
    <w:p w:rsidR="007C091E" w:rsidRPr="00ED5172" w:rsidRDefault="00525955" w:rsidP="00333F87">
      <w:pPr>
        <w:keepNext/>
        <w:jc w:val="both"/>
        <w:rPr>
          <w:rFonts w:cs="Arial"/>
          <w:sz w:val="19"/>
          <w:szCs w:val="19"/>
        </w:rPr>
      </w:pPr>
      <w:r w:rsidRPr="00ED5172">
        <w:rPr>
          <w:rFonts w:cs="Arial"/>
          <w:sz w:val="19"/>
          <w:szCs w:val="19"/>
        </w:rPr>
        <w:t>El número de parados se ha incrementado</w:t>
      </w:r>
      <w:r w:rsidR="00A54117" w:rsidRPr="00ED5172">
        <w:rPr>
          <w:rFonts w:cs="Arial"/>
          <w:sz w:val="19"/>
          <w:szCs w:val="19"/>
        </w:rPr>
        <w:t xml:space="preserve"> en 145 mil con respecto al segundo trimestre de 2011, y 404 mil con resp</w:t>
      </w:r>
      <w:r w:rsidR="00390BBD" w:rsidRPr="00ED5172">
        <w:rPr>
          <w:rFonts w:cs="Arial"/>
          <w:sz w:val="19"/>
          <w:szCs w:val="19"/>
        </w:rPr>
        <w:t>ecto al tercer trimestre de 2010</w:t>
      </w:r>
      <w:r w:rsidR="00333F87" w:rsidRPr="00ED5172">
        <w:rPr>
          <w:rFonts w:cs="Arial"/>
          <w:sz w:val="19"/>
          <w:szCs w:val="19"/>
        </w:rPr>
        <w:t xml:space="preserve">. </w:t>
      </w:r>
      <w:r w:rsidR="00A54117" w:rsidRPr="00ED5172">
        <w:rPr>
          <w:rFonts w:cs="Arial"/>
          <w:sz w:val="19"/>
          <w:szCs w:val="19"/>
        </w:rPr>
        <w:t>Especialmente severo ha sido el incremento del número de parados entre aquellos que buscan su primer empleo, 48 mil parados más que en el segundo trimestre,</w:t>
      </w:r>
      <w:r w:rsidR="00D94F5B" w:rsidRPr="00ED5172">
        <w:rPr>
          <w:rFonts w:cs="Arial"/>
          <w:sz w:val="19"/>
          <w:szCs w:val="19"/>
        </w:rPr>
        <w:t xml:space="preserve"> los que pertenecían al sector de la educación, 44 mil parados más,</w:t>
      </w:r>
      <w:r w:rsidR="00A54117" w:rsidRPr="00ED5172">
        <w:rPr>
          <w:rFonts w:cs="Arial"/>
          <w:sz w:val="19"/>
          <w:szCs w:val="19"/>
        </w:rPr>
        <w:t xml:space="preserve"> los que han dejado su trabajo hace más d</w:t>
      </w:r>
      <w:r w:rsidR="00D94F5B" w:rsidRPr="00ED5172">
        <w:rPr>
          <w:rFonts w:cs="Arial"/>
          <w:sz w:val="19"/>
          <w:szCs w:val="19"/>
        </w:rPr>
        <w:t xml:space="preserve">e un año, 41 mil parados más, </w:t>
      </w:r>
      <w:r w:rsidR="00A54117" w:rsidRPr="00ED5172">
        <w:rPr>
          <w:rFonts w:cs="Arial"/>
          <w:sz w:val="19"/>
          <w:szCs w:val="19"/>
        </w:rPr>
        <w:t>la construcción, 26 mil más, y la Administración Pública y Defensa, 19 mil más.</w:t>
      </w:r>
    </w:p>
    <w:p w:rsidR="00CA4B9B" w:rsidRPr="005F1418" w:rsidRDefault="00CA4B9B" w:rsidP="00A54117">
      <w:pPr>
        <w:ind w:right="-81"/>
        <w:jc w:val="both"/>
        <w:rPr>
          <w:rFonts w:cs="Arial"/>
          <w:b/>
          <w:color w:val="000080"/>
          <w:sz w:val="16"/>
          <w:szCs w:val="16"/>
          <w:u w:val="single"/>
        </w:rPr>
      </w:pPr>
    </w:p>
    <w:p w:rsidR="007C091E" w:rsidRPr="00EF2E44" w:rsidRDefault="006C4488" w:rsidP="00295A84">
      <w:pPr>
        <w:pStyle w:val="Prrafodelista"/>
        <w:numPr>
          <w:ilvl w:val="0"/>
          <w:numId w:val="2"/>
        </w:numPr>
        <w:ind w:right="-81"/>
        <w:jc w:val="both"/>
        <w:rPr>
          <w:rFonts w:cs="Arial"/>
          <w:sz w:val="19"/>
          <w:szCs w:val="19"/>
        </w:rPr>
      </w:pPr>
      <w:r w:rsidRPr="00EF2E44">
        <w:rPr>
          <w:rFonts w:cs="Arial"/>
          <w:b/>
          <w:color w:val="000080"/>
          <w:sz w:val="19"/>
          <w:szCs w:val="19"/>
        </w:rPr>
        <w:t>Se</w:t>
      </w:r>
      <w:r w:rsidR="00A54117" w:rsidRPr="00EF2E44">
        <w:rPr>
          <w:rFonts w:cs="Arial"/>
          <w:b/>
          <w:color w:val="000080"/>
          <w:sz w:val="19"/>
          <w:szCs w:val="19"/>
        </w:rPr>
        <w:t xml:space="preserve"> está produciendo un deterioro de la calidad de la ocupación con un fuerte incremento de la parcialidad no deseada o un alto índice de temporalidad no justificada</w:t>
      </w:r>
    </w:p>
    <w:p w:rsidR="00CA4B9B" w:rsidRPr="00CA4B9B" w:rsidRDefault="00CA4B9B" w:rsidP="00CA4B9B">
      <w:pPr>
        <w:ind w:right="-81"/>
        <w:jc w:val="both"/>
        <w:rPr>
          <w:rFonts w:cs="Arial"/>
          <w:sz w:val="12"/>
          <w:szCs w:val="12"/>
        </w:rPr>
      </w:pPr>
    </w:p>
    <w:p w:rsidR="002679EC" w:rsidRDefault="00A54117" w:rsidP="002679EC">
      <w:pPr>
        <w:jc w:val="both"/>
        <w:rPr>
          <w:rFonts w:cs="Arial"/>
          <w:sz w:val="19"/>
          <w:szCs w:val="19"/>
        </w:rPr>
      </w:pPr>
      <w:r w:rsidRPr="00A54117">
        <w:rPr>
          <w:rFonts w:cs="Arial"/>
          <w:sz w:val="19"/>
          <w:szCs w:val="19"/>
        </w:rPr>
        <w:t xml:space="preserve">La situación es si cabe más preocupante si nos fijamos en la dinámica del número de desplazados del mercado laboral, constituidos por los parados, los inactivos desanimados y los parciales involuntarios. </w:t>
      </w:r>
      <w:r w:rsidR="00C86DB4">
        <w:rPr>
          <w:rFonts w:cs="Arial"/>
          <w:sz w:val="19"/>
          <w:szCs w:val="19"/>
        </w:rPr>
        <w:t>Este colectivo también se situaría en máximos, cerca de los 6,7 millones de individuos, con un</w:t>
      </w:r>
      <w:r w:rsidR="002679EC">
        <w:rPr>
          <w:rFonts w:cs="Arial"/>
          <w:sz w:val="19"/>
          <w:szCs w:val="19"/>
        </w:rPr>
        <w:t xml:space="preserve"> incremento interanual del 8,1%.</w:t>
      </w:r>
    </w:p>
    <w:p w:rsidR="00A54117" w:rsidRDefault="00A54117" w:rsidP="002679EC">
      <w:pPr>
        <w:jc w:val="both"/>
        <w:rPr>
          <w:rFonts w:cs="Arial"/>
          <w:sz w:val="19"/>
          <w:szCs w:val="19"/>
        </w:rPr>
      </w:pPr>
      <w:r w:rsidRPr="00A54117">
        <w:rPr>
          <w:rFonts w:cs="Arial"/>
          <w:sz w:val="19"/>
          <w:szCs w:val="19"/>
        </w:rPr>
        <w:lastRenderedPageBreak/>
        <w:t xml:space="preserve">Ante el escaso crecimiento del </w:t>
      </w:r>
      <w:r w:rsidR="00C86DB4">
        <w:rPr>
          <w:rFonts w:cs="Arial"/>
          <w:sz w:val="19"/>
          <w:szCs w:val="19"/>
        </w:rPr>
        <w:t>número de inactivos desanimados</w:t>
      </w:r>
      <w:r w:rsidRPr="00A54117">
        <w:rPr>
          <w:rFonts w:cs="Arial"/>
          <w:sz w:val="19"/>
          <w:szCs w:val="19"/>
        </w:rPr>
        <w:t xml:space="preserve"> que se sitúa en un ritmo de variación del 0,8% interanual, el comportamiento de los desplazados es resultado de la dinámica de los parados, que crecían un 8,8% interanual, y de los parciales involuntarios, que lo hacen en un 7,9%. El crecimiento de estos últimos da una idea no sólo de los problemas en cuanto a incremento del paro y reducción de la ocupación, sino también de la tendencia paralela de deterioro de la calidad de la ocupación, con un incremento de la temporalidad y de la parcialidad no deseada.</w:t>
      </w:r>
    </w:p>
    <w:p w:rsidR="000E7708" w:rsidRPr="005F1418" w:rsidRDefault="000E7708" w:rsidP="00A54117">
      <w:pPr>
        <w:ind w:right="-81"/>
        <w:jc w:val="both"/>
        <w:rPr>
          <w:rFonts w:cs="Arial"/>
          <w:sz w:val="16"/>
          <w:szCs w:val="16"/>
        </w:rPr>
      </w:pPr>
    </w:p>
    <w:p w:rsidR="000E7708" w:rsidRPr="00EF2E44" w:rsidRDefault="000E7708" w:rsidP="00295A84">
      <w:pPr>
        <w:pStyle w:val="Prrafodelista"/>
        <w:numPr>
          <w:ilvl w:val="0"/>
          <w:numId w:val="2"/>
        </w:numPr>
        <w:ind w:right="-81"/>
        <w:jc w:val="both"/>
        <w:rPr>
          <w:rFonts w:cs="Arial"/>
          <w:b/>
          <w:color w:val="000080"/>
          <w:sz w:val="19"/>
          <w:szCs w:val="19"/>
        </w:rPr>
      </w:pPr>
      <w:r w:rsidRPr="00EF2E44">
        <w:rPr>
          <w:rFonts w:cs="Arial"/>
          <w:b/>
          <w:color w:val="000080"/>
          <w:sz w:val="19"/>
          <w:szCs w:val="19"/>
        </w:rPr>
        <w:t>El gasto medio por hogar se ha reducido casi en un 7% desde que comenzó la crisis,</w:t>
      </w:r>
      <w:r w:rsidR="003D56D9" w:rsidRPr="00EF2E44">
        <w:rPr>
          <w:rFonts w:cs="Arial"/>
          <w:b/>
          <w:color w:val="000080"/>
          <w:sz w:val="19"/>
          <w:szCs w:val="19"/>
        </w:rPr>
        <w:t xml:space="preserve"> en el año 2007</w:t>
      </w:r>
    </w:p>
    <w:p w:rsidR="007C091E" w:rsidRPr="007C091E" w:rsidRDefault="007C091E" w:rsidP="00A54117">
      <w:pPr>
        <w:ind w:right="-81"/>
        <w:jc w:val="both"/>
        <w:rPr>
          <w:rFonts w:cs="Arial"/>
          <w:b/>
          <w:color w:val="000080"/>
          <w:sz w:val="2"/>
          <w:szCs w:val="2"/>
          <w:u w:val="single"/>
        </w:rPr>
      </w:pPr>
    </w:p>
    <w:p w:rsidR="00C86DB4" w:rsidRPr="003D56D9" w:rsidRDefault="00C86DB4" w:rsidP="007C091E">
      <w:pPr>
        <w:keepNext/>
        <w:spacing w:before="120"/>
        <w:jc w:val="both"/>
        <w:rPr>
          <w:rFonts w:cs="Arial"/>
          <w:sz w:val="19"/>
          <w:szCs w:val="19"/>
        </w:rPr>
      </w:pPr>
      <w:r w:rsidRPr="003D56D9">
        <w:rPr>
          <w:rFonts w:cs="Arial"/>
          <w:sz w:val="19"/>
          <w:szCs w:val="19"/>
        </w:rPr>
        <w:t>En un momento como el actual, de intensa crisis económica y graves problemas en el mercado de trabajo, merece la pena analizar los resultados obtenidos para conocer cómo se está comportando el gasto de las familias ante la reducción de sus ingresos.</w:t>
      </w:r>
    </w:p>
    <w:p w:rsidR="00C86DB4" w:rsidRPr="003D56D9" w:rsidRDefault="00F73DC3" w:rsidP="00F73DC3">
      <w:pPr>
        <w:keepNext/>
        <w:spacing w:before="120"/>
        <w:ind w:left="-33" w:firstLine="33"/>
        <w:jc w:val="both"/>
        <w:rPr>
          <w:rFonts w:cs="Arial"/>
          <w:sz w:val="19"/>
          <w:szCs w:val="19"/>
        </w:rPr>
      </w:pPr>
      <w:r>
        <w:rPr>
          <w:rFonts w:cs="Arial"/>
          <w:sz w:val="19"/>
          <w:szCs w:val="19"/>
        </w:rPr>
        <w:t>Según los últimos datos de la Encuesta de Presupuestos Familiares del INE, a 2010, e</w:t>
      </w:r>
      <w:r w:rsidR="00C86DB4" w:rsidRPr="003D56D9">
        <w:rPr>
          <w:rFonts w:cs="Arial"/>
          <w:sz w:val="19"/>
          <w:szCs w:val="19"/>
        </w:rPr>
        <w:t xml:space="preserve">l gasto total de los hogares españoles se ha reducido por segundo año consecutivo en términos interanuales. En 2010, el descenso fue del 1,5%, hasta los 511 mil millones de euros a precios corrientes. </w:t>
      </w:r>
      <w:r>
        <w:rPr>
          <w:rFonts w:cs="Arial"/>
          <w:sz w:val="19"/>
          <w:szCs w:val="19"/>
        </w:rPr>
        <w:t>Por su parte</w:t>
      </w:r>
      <w:r w:rsidR="00C86DB4" w:rsidRPr="003D56D9">
        <w:rPr>
          <w:rFonts w:cs="Arial"/>
          <w:sz w:val="19"/>
          <w:szCs w:val="19"/>
        </w:rPr>
        <w:t>, el gasto medio por hogar ha disminuido en un 2,1% en 2010</w:t>
      </w:r>
      <w:r>
        <w:rPr>
          <w:rFonts w:cs="Arial"/>
          <w:sz w:val="19"/>
          <w:szCs w:val="19"/>
        </w:rPr>
        <w:t xml:space="preserve"> (29.782€)</w:t>
      </w:r>
      <w:r w:rsidR="00C86DB4" w:rsidRPr="003D56D9">
        <w:rPr>
          <w:rFonts w:cs="Arial"/>
          <w:sz w:val="19"/>
          <w:szCs w:val="19"/>
        </w:rPr>
        <w:t>, acumulando una caída del 6,9% con respecto a la</w:t>
      </w:r>
      <w:r>
        <w:rPr>
          <w:rFonts w:cs="Arial"/>
          <w:sz w:val="19"/>
          <w:szCs w:val="19"/>
        </w:rPr>
        <w:t xml:space="preserve"> cifra máxima alcanzada en 2007 (32 mil euros)</w:t>
      </w:r>
    </w:p>
    <w:p w:rsidR="00C86DB4" w:rsidRPr="003D56D9" w:rsidRDefault="00C86DB4" w:rsidP="003D56D9">
      <w:pPr>
        <w:keepNext/>
        <w:spacing w:before="120"/>
        <w:ind w:left="-33"/>
        <w:jc w:val="both"/>
        <w:rPr>
          <w:rFonts w:cs="Arial"/>
          <w:sz w:val="19"/>
          <w:szCs w:val="19"/>
        </w:rPr>
      </w:pPr>
      <w:r w:rsidRPr="003D56D9">
        <w:rPr>
          <w:rFonts w:cs="Arial"/>
          <w:sz w:val="19"/>
          <w:szCs w:val="19"/>
        </w:rPr>
        <w:t>Las cifras son sensiblemente peores si tenemos en cuenta el crecimiento de los precios de los últimos años, lo que nos daría una visión más real de la capacidad de consumo de bienes de los hogares. Así, a precios de 2006, el gasto total de los hogares habría caído un 3,1% en 2010 con respecto a 2009, y el gasto medio por hogar un 3,6%, acumulando este último un retroceso del 12,2% desde 2007.</w:t>
      </w:r>
    </w:p>
    <w:p w:rsidR="00CA4B9B" w:rsidRDefault="00CA4B9B" w:rsidP="00A54117">
      <w:pPr>
        <w:ind w:right="-81"/>
        <w:jc w:val="both"/>
        <w:rPr>
          <w:rFonts w:cs="Arial"/>
          <w:b/>
          <w:color w:val="000080"/>
          <w:sz w:val="12"/>
          <w:szCs w:val="12"/>
          <w:u w:val="single"/>
        </w:rPr>
      </w:pPr>
    </w:p>
    <w:p w:rsidR="00B50530" w:rsidRPr="00EF2E44" w:rsidRDefault="007E3AAB" w:rsidP="00295A84">
      <w:pPr>
        <w:pStyle w:val="Prrafodelista"/>
        <w:numPr>
          <w:ilvl w:val="0"/>
          <w:numId w:val="2"/>
        </w:numPr>
        <w:ind w:right="-81"/>
        <w:jc w:val="both"/>
        <w:rPr>
          <w:rFonts w:cs="Arial"/>
          <w:b/>
          <w:color w:val="000080"/>
          <w:sz w:val="19"/>
          <w:szCs w:val="19"/>
        </w:rPr>
      </w:pPr>
      <w:r w:rsidRPr="00EF2E44">
        <w:rPr>
          <w:rFonts w:cs="Arial"/>
          <w:b/>
          <w:color w:val="000080"/>
          <w:sz w:val="19"/>
          <w:szCs w:val="19"/>
        </w:rPr>
        <w:t xml:space="preserve">El gasto de los hogares españoles asociados a la vivienda </w:t>
      </w:r>
      <w:r w:rsidR="006C4488" w:rsidRPr="00EF2E44">
        <w:rPr>
          <w:rFonts w:cs="Arial"/>
          <w:b/>
          <w:color w:val="000080"/>
          <w:sz w:val="19"/>
          <w:szCs w:val="19"/>
        </w:rPr>
        <w:t>crece</w:t>
      </w:r>
      <w:r w:rsidRPr="00EF2E44">
        <w:rPr>
          <w:rFonts w:cs="Arial"/>
          <w:b/>
          <w:color w:val="000080"/>
          <w:sz w:val="19"/>
          <w:szCs w:val="19"/>
        </w:rPr>
        <w:t xml:space="preserve"> un 9% desde que comenzó la crisis, pese a que el gasto medio se </w:t>
      </w:r>
      <w:r w:rsidR="006C4488" w:rsidRPr="00EF2E44">
        <w:rPr>
          <w:rFonts w:cs="Arial"/>
          <w:b/>
          <w:color w:val="000080"/>
          <w:sz w:val="19"/>
          <w:szCs w:val="19"/>
        </w:rPr>
        <w:t>h</w:t>
      </w:r>
      <w:r w:rsidRPr="00EF2E44">
        <w:rPr>
          <w:rFonts w:cs="Arial"/>
          <w:b/>
          <w:color w:val="000080"/>
          <w:sz w:val="19"/>
          <w:szCs w:val="19"/>
        </w:rPr>
        <w:t>a reducido considerablemente en dicho periodo</w:t>
      </w:r>
    </w:p>
    <w:p w:rsidR="007E3AAB" w:rsidRPr="00CA4B9B" w:rsidRDefault="007E3AAB" w:rsidP="00A54117">
      <w:pPr>
        <w:ind w:right="-81"/>
        <w:jc w:val="both"/>
        <w:rPr>
          <w:rFonts w:cs="Arial"/>
          <w:b/>
          <w:color w:val="000080"/>
          <w:sz w:val="12"/>
          <w:szCs w:val="12"/>
          <w:u w:val="single"/>
        </w:rPr>
      </w:pPr>
    </w:p>
    <w:p w:rsidR="007E3AAB" w:rsidRPr="007E3AAB" w:rsidRDefault="007E3AAB" w:rsidP="007E3AAB">
      <w:pPr>
        <w:keepNext/>
        <w:jc w:val="both"/>
        <w:rPr>
          <w:rFonts w:cs="Arial"/>
          <w:sz w:val="19"/>
          <w:szCs w:val="19"/>
        </w:rPr>
      </w:pPr>
      <w:r w:rsidRPr="007E3AAB">
        <w:rPr>
          <w:rFonts w:cs="Arial"/>
          <w:sz w:val="19"/>
          <w:szCs w:val="19"/>
        </w:rPr>
        <w:t>Los hogares españoles dedican tres de cada diez (30% del total de su gasto medio)</w:t>
      </w:r>
      <w:r w:rsidR="006C4488">
        <w:rPr>
          <w:rFonts w:cs="Arial"/>
          <w:sz w:val="19"/>
          <w:szCs w:val="19"/>
        </w:rPr>
        <w:t xml:space="preserve"> </w:t>
      </w:r>
      <w:r w:rsidRPr="007E3AAB">
        <w:rPr>
          <w:rFonts w:cs="Arial"/>
          <w:sz w:val="19"/>
          <w:szCs w:val="19"/>
        </w:rPr>
        <w:t>euros al grupo de gasto “Vivienda, agua, electricidad, gas y otros combustibles”. Le siguen “Alimentos y bebidas no alcohólicas” (con un 14%), y “Transportes” (12%). Entre las tres partidas representan más de la mitad del gasto realizado por los hogares. Así, la dinámica del precio y consumo de estos bienes influye decisivamente sobre la cantidad disponible para el resto de gastos. En particular, el comportamiento de vivienda y energía se posiciona, sobre todo para aquellos hogares con un menor ingreso medio, como el primer determinante del gasto total medio y la evolución del resto de partidas.</w:t>
      </w:r>
    </w:p>
    <w:p w:rsidR="007E3AAB" w:rsidRPr="00CA4B9B" w:rsidRDefault="007E3AAB" w:rsidP="007E3AAB">
      <w:pPr>
        <w:keepNext/>
        <w:jc w:val="both"/>
        <w:rPr>
          <w:rFonts w:cs="Arial"/>
          <w:sz w:val="12"/>
          <w:szCs w:val="12"/>
        </w:rPr>
      </w:pPr>
    </w:p>
    <w:p w:rsidR="007E3AAB" w:rsidRPr="007E3AAB" w:rsidRDefault="007E3AAB" w:rsidP="007E3AAB">
      <w:pPr>
        <w:keepNext/>
        <w:jc w:val="both"/>
        <w:rPr>
          <w:rFonts w:cs="Arial"/>
          <w:sz w:val="19"/>
          <w:szCs w:val="19"/>
        </w:rPr>
      </w:pPr>
      <w:r w:rsidRPr="007E3AAB">
        <w:rPr>
          <w:rFonts w:cs="Arial"/>
          <w:sz w:val="19"/>
          <w:szCs w:val="19"/>
        </w:rPr>
        <w:t>Ha sido especialmente intenso el</w:t>
      </w:r>
      <w:r w:rsidR="000301BC">
        <w:rPr>
          <w:rFonts w:cs="Arial"/>
          <w:sz w:val="19"/>
          <w:szCs w:val="19"/>
        </w:rPr>
        <w:t xml:space="preserve"> crecimiento de la partida de “V</w:t>
      </w:r>
      <w:r w:rsidRPr="007E3AAB">
        <w:rPr>
          <w:rFonts w:cs="Arial"/>
          <w:sz w:val="19"/>
          <w:szCs w:val="19"/>
        </w:rPr>
        <w:t>ivienda, agua, electricidad, gas y otros combustibles”, como consecuencia de la burbuja inmobiliaria, con un crecimiento del 9% (que llega hasta el 17,8% si consideramos el periodo 2006-2010). Esta partida se incrementa a pesar de la recesión económica y el parón del sector inmobiliario. De la misma forma, durante la crisis, los hogares han incrementado su gasto en las partidas de “</w:t>
      </w:r>
      <w:r w:rsidR="00A32287">
        <w:rPr>
          <w:rFonts w:cs="Arial"/>
          <w:sz w:val="19"/>
          <w:szCs w:val="19"/>
        </w:rPr>
        <w:t>Bebidas alcohólicas y tabaco” (4%), y “Enseñanza” (6</w:t>
      </w:r>
      <w:r w:rsidRPr="007E3AAB">
        <w:rPr>
          <w:rFonts w:cs="Arial"/>
          <w:sz w:val="19"/>
          <w:szCs w:val="19"/>
        </w:rPr>
        <w:t>,6%).</w:t>
      </w:r>
    </w:p>
    <w:p w:rsidR="007E3AAB" w:rsidRPr="00CA4B9B" w:rsidRDefault="007E3AAB" w:rsidP="007E3AAB">
      <w:pPr>
        <w:keepNext/>
        <w:jc w:val="both"/>
        <w:rPr>
          <w:rFonts w:cs="Arial"/>
          <w:sz w:val="12"/>
          <w:szCs w:val="12"/>
        </w:rPr>
      </w:pPr>
    </w:p>
    <w:p w:rsidR="007E3AAB" w:rsidRPr="007E3AAB" w:rsidRDefault="007E3AAB" w:rsidP="007E3AAB">
      <w:pPr>
        <w:keepNext/>
        <w:jc w:val="both"/>
        <w:rPr>
          <w:rFonts w:cs="Arial"/>
          <w:sz w:val="19"/>
          <w:szCs w:val="19"/>
        </w:rPr>
      </w:pPr>
      <w:r w:rsidRPr="007E3AAB">
        <w:rPr>
          <w:rFonts w:cs="Arial"/>
          <w:sz w:val="19"/>
          <w:szCs w:val="19"/>
        </w:rPr>
        <w:t xml:space="preserve">En el lado opuesto, hemos reducido nuestro presupuesto familiar destinado a “Artículos de vestir y calzado” (-20,4%), que ha sido la partida más afectada, seguida de “Mobiliario, equipamiento del hogar, gastos corrientes” y Transportes, ambas con una caída del 19,9%. </w:t>
      </w:r>
    </w:p>
    <w:p w:rsidR="007E3AAB" w:rsidRPr="00CA4B9B" w:rsidRDefault="007E3AAB" w:rsidP="007E3AAB">
      <w:pPr>
        <w:ind w:right="-81"/>
        <w:jc w:val="both"/>
        <w:rPr>
          <w:rFonts w:cs="Arial"/>
          <w:sz w:val="12"/>
          <w:szCs w:val="12"/>
        </w:rPr>
      </w:pPr>
    </w:p>
    <w:p w:rsidR="00525955" w:rsidRPr="00EF2E44" w:rsidRDefault="00525955" w:rsidP="00295A84">
      <w:pPr>
        <w:pStyle w:val="Prrafodelista"/>
        <w:numPr>
          <w:ilvl w:val="0"/>
          <w:numId w:val="2"/>
        </w:numPr>
        <w:ind w:right="-81"/>
        <w:jc w:val="both"/>
        <w:rPr>
          <w:rFonts w:cs="Arial"/>
          <w:b/>
          <w:color w:val="000080"/>
          <w:sz w:val="19"/>
          <w:szCs w:val="19"/>
        </w:rPr>
      </w:pPr>
      <w:r w:rsidRPr="00EF2E44">
        <w:rPr>
          <w:rFonts w:cs="Arial"/>
          <w:b/>
          <w:color w:val="000080"/>
          <w:sz w:val="19"/>
          <w:szCs w:val="19"/>
        </w:rPr>
        <w:t>Madrid, Navarra y País Vasco son las CCAA con un mayor gasto medio por hogar, frente a Extremadura, Canarias y Castilla y León, que son las regiones con un menor presupuesto familiar</w:t>
      </w:r>
    </w:p>
    <w:p w:rsidR="009C0E2C" w:rsidRPr="00CA4B9B" w:rsidRDefault="009C0E2C" w:rsidP="007E3AAB">
      <w:pPr>
        <w:ind w:right="-81"/>
        <w:jc w:val="both"/>
        <w:rPr>
          <w:rFonts w:cs="Arial"/>
          <w:b/>
          <w:color w:val="000080"/>
          <w:sz w:val="12"/>
          <w:szCs w:val="12"/>
          <w:u w:val="single"/>
        </w:rPr>
      </w:pPr>
    </w:p>
    <w:p w:rsidR="00525955" w:rsidRDefault="00BF74FE" w:rsidP="007E3AAB">
      <w:pPr>
        <w:ind w:right="-81"/>
        <w:jc w:val="both"/>
        <w:rPr>
          <w:rFonts w:cs="Arial"/>
          <w:sz w:val="19"/>
          <w:szCs w:val="19"/>
        </w:rPr>
      </w:pPr>
      <w:r w:rsidRPr="00BF74FE">
        <w:rPr>
          <w:rFonts w:cs="Arial"/>
          <w:sz w:val="19"/>
          <w:szCs w:val="19"/>
        </w:rPr>
        <w:t>El nivel de gasto medio por hogar está</w:t>
      </w:r>
      <w:r>
        <w:rPr>
          <w:rFonts w:cs="Arial"/>
          <w:sz w:val="19"/>
          <w:szCs w:val="19"/>
        </w:rPr>
        <w:t xml:space="preserve"> positivamente relacionado con el nivel de PIB per cápita regional. Así, las CCAA de Madrid (35.353€), Navarra (34.623€) y País Vasco (33.868€) son las que presentan niveles de gasto superiores, frente a regiones como Extremadura (24.664€), Canarias (24.717€) o Castilla y León (26.320</w:t>
      </w:r>
      <w:r w:rsidR="000301BC">
        <w:rPr>
          <w:rFonts w:cs="Arial"/>
          <w:sz w:val="19"/>
          <w:szCs w:val="19"/>
        </w:rPr>
        <w:t>€</w:t>
      </w:r>
      <w:r>
        <w:rPr>
          <w:rFonts w:cs="Arial"/>
          <w:sz w:val="19"/>
          <w:szCs w:val="19"/>
        </w:rPr>
        <w:t>), que registran los menores niveles de gasto.</w:t>
      </w:r>
    </w:p>
    <w:p w:rsidR="00BF74FE" w:rsidRPr="00A23D0D" w:rsidRDefault="00BF74FE" w:rsidP="007E3AAB">
      <w:pPr>
        <w:ind w:right="-81"/>
        <w:jc w:val="both"/>
        <w:rPr>
          <w:rFonts w:cs="Arial"/>
          <w:sz w:val="10"/>
          <w:szCs w:val="10"/>
        </w:rPr>
      </w:pPr>
    </w:p>
    <w:p w:rsidR="000E7708" w:rsidRDefault="00BF74FE" w:rsidP="00A54117">
      <w:pPr>
        <w:ind w:right="-81"/>
        <w:jc w:val="both"/>
        <w:rPr>
          <w:rFonts w:ascii="Swis721 BT" w:hAnsi="Swis721 BT"/>
          <w:sz w:val="20"/>
          <w:szCs w:val="20"/>
        </w:rPr>
      </w:pPr>
      <w:r w:rsidRPr="00BF74FE">
        <w:rPr>
          <w:rFonts w:cs="Arial"/>
          <w:sz w:val="19"/>
          <w:szCs w:val="19"/>
        </w:rPr>
        <w:t xml:space="preserve">Muestra de las importantes diferencias en gasto medio regional por hogar es la Comunidad de Madrid, que con un gasto medio de 35.353 euros posee un 43% más de gasto que la región de Extremadura; en términos de PIB per cápita, la diferencia entre ambas regiones es del 78%. Aunque las diferencias entre la región con más gasto medio y la que menos apenas han variado entre 2007 y 2010, sí que se han producido en los últimos años importantes variaciones en el ranking de algunas de las comunidades. Así, por ejemplo, las Islas Canarias, que presentaban en 2006 un gasto medio por </w:t>
      </w:r>
      <w:r w:rsidRPr="00BF74FE">
        <w:rPr>
          <w:rFonts w:cs="Arial"/>
          <w:sz w:val="19"/>
          <w:szCs w:val="19"/>
        </w:rPr>
        <w:lastRenderedPageBreak/>
        <w:t>hogar sólo un 7,1% inferior a la media española, se sitúan en 2010 como la segunda región con menor gasto medio por hogar, con una cifra un 17% inferior a la media española</w:t>
      </w:r>
      <w:r>
        <w:rPr>
          <w:rFonts w:ascii="Swis721 BT" w:hAnsi="Swis721 BT"/>
          <w:sz w:val="20"/>
          <w:szCs w:val="20"/>
        </w:rPr>
        <w:t>.</w:t>
      </w:r>
    </w:p>
    <w:p w:rsidR="00BF74FE" w:rsidRPr="00A23D0D" w:rsidRDefault="00BF74FE" w:rsidP="00A54117">
      <w:pPr>
        <w:ind w:right="-81"/>
        <w:jc w:val="both"/>
        <w:rPr>
          <w:rFonts w:ascii="Arial" w:hAnsi="Arial" w:cs="Arial"/>
          <w:sz w:val="12"/>
          <w:szCs w:val="12"/>
        </w:rPr>
      </w:pPr>
    </w:p>
    <w:p w:rsidR="00BF74FE" w:rsidRPr="00EF2E44" w:rsidRDefault="00BF74FE" w:rsidP="00295A84">
      <w:pPr>
        <w:pStyle w:val="Prrafodelista"/>
        <w:numPr>
          <w:ilvl w:val="0"/>
          <w:numId w:val="2"/>
        </w:numPr>
        <w:ind w:right="-81"/>
        <w:jc w:val="both"/>
        <w:rPr>
          <w:rFonts w:cs="Arial"/>
          <w:b/>
          <w:color w:val="000080"/>
          <w:sz w:val="19"/>
          <w:szCs w:val="19"/>
        </w:rPr>
      </w:pPr>
      <w:r w:rsidRPr="00EF2E44">
        <w:rPr>
          <w:rFonts w:cs="Arial"/>
          <w:b/>
          <w:color w:val="000080"/>
          <w:sz w:val="19"/>
          <w:szCs w:val="19"/>
        </w:rPr>
        <w:t>Las familias de Canarias, Murcia e I. Baleares son las que más han reducido sus gastos desde que comenzó la crisis</w:t>
      </w:r>
    </w:p>
    <w:p w:rsidR="00BF74FE" w:rsidRPr="00CA4B9B" w:rsidRDefault="00BF74FE" w:rsidP="00A54117">
      <w:pPr>
        <w:ind w:right="-81"/>
        <w:jc w:val="both"/>
        <w:rPr>
          <w:rFonts w:cs="Arial"/>
          <w:sz w:val="12"/>
          <w:szCs w:val="12"/>
        </w:rPr>
      </w:pPr>
    </w:p>
    <w:p w:rsidR="00BF74FE" w:rsidRDefault="00547D14" w:rsidP="00A54117">
      <w:pPr>
        <w:ind w:right="-81"/>
        <w:jc w:val="both"/>
        <w:rPr>
          <w:rFonts w:cs="Arial"/>
          <w:sz w:val="19"/>
          <w:szCs w:val="19"/>
        </w:rPr>
      </w:pPr>
      <w:r w:rsidRPr="00547D14">
        <w:rPr>
          <w:rFonts w:cs="Arial"/>
          <w:sz w:val="19"/>
          <w:szCs w:val="19"/>
        </w:rPr>
        <w:t>La dinámica del gasto medio en los últimos tres años</w:t>
      </w:r>
      <w:r>
        <w:rPr>
          <w:rFonts w:cs="Arial"/>
          <w:sz w:val="19"/>
          <w:szCs w:val="19"/>
        </w:rPr>
        <w:t xml:space="preserve"> da una idea de las dificultades que están pasando los hogares españoles y los ajustes que han tenido que realizar para sobrellevar esta crisis. Los menores ingresos derivados del incremento del desempleo llevan a todas las CCAA salvo Asturias a reducir su presupuesto familiar desde 2007.  </w:t>
      </w:r>
    </w:p>
    <w:p w:rsidR="006C4488" w:rsidRPr="00CA4B9B" w:rsidRDefault="006C4488" w:rsidP="00A54117">
      <w:pPr>
        <w:ind w:right="-81"/>
        <w:jc w:val="both"/>
        <w:rPr>
          <w:rFonts w:cs="Arial"/>
          <w:sz w:val="12"/>
          <w:szCs w:val="12"/>
        </w:rPr>
      </w:pPr>
    </w:p>
    <w:p w:rsidR="00A23D0D" w:rsidRDefault="006C4488" w:rsidP="00A54117">
      <w:pPr>
        <w:ind w:right="-81"/>
        <w:jc w:val="both"/>
        <w:rPr>
          <w:rFonts w:cs="Arial"/>
          <w:sz w:val="19"/>
          <w:szCs w:val="19"/>
        </w:rPr>
      </w:pPr>
      <w:r>
        <w:rPr>
          <w:rFonts w:cs="Arial"/>
          <w:sz w:val="19"/>
          <w:szCs w:val="19"/>
        </w:rPr>
        <w:t>Las variaciones negativas más importantes</w:t>
      </w:r>
      <w:r w:rsidR="00390BBD">
        <w:rPr>
          <w:rFonts w:cs="Arial"/>
          <w:sz w:val="19"/>
          <w:szCs w:val="19"/>
        </w:rPr>
        <w:t xml:space="preserve"> se han producido en Canarias</w:t>
      </w:r>
      <w:r w:rsidR="0054069B">
        <w:rPr>
          <w:rFonts w:cs="Arial"/>
          <w:sz w:val="19"/>
          <w:szCs w:val="19"/>
        </w:rPr>
        <w:t xml:space="preserve"> (-16,9%)</w:t>
      </w:r>
      <w:r w:rsidR="00390BBD">
        <w:rPr>
          <w:rFonts w:cs="Arial"/>
          <w:sz w:val="19"/>
          <w:szCs w:val="19"/>
        </w:rPr>
        <w:t>, Murcia</w:t>
      </w:r>
      <w:r w:rsidR="0054069B">
        <w:rPr>
          <w:rFonts w:cs="Arial"/>
          <w:sz w:val="19"/>
          <w:szCs w:val="19"/>
        </w:rPr>
        <w:t xml:space="preserve"> (-16%)</w:t>
      </w:r>
      <w:r w:rsidR="00390BBD">
        <w:rPr>
          <w:rFonts w:cs="Arial"/>
          <w:sz w:val="19"/>
          <w:szCs w:val="19"/>
        </w:rPr>
        <w:t xml:space="preserve">, </w:t>
      </w:r>
      <w:r w:rsidR="0054069B">
        <w:rPr>
          <w:rFonts w:cs="Arial"/>
          <w:sz w:val="19"/>
          <w:szCs w:val="19"/>
        </w:rPr>
        <w:t xml:space="preserve">I. </w:t>
      </w:r>
      <w:r w:rsidR="00390BBD">
        <w:rPr>
          <w:rFonts w:cs="Arial"/>
          <w:sz w:val="19"/>
          <w:szCs w:val="19"/>
        </w:rPr>
        <w:t>Baleares</w:t>
      </w:r>
      <w:r w:rsidR="0054069B">
        <w:rPr>
          <w:rFonts w:cs="Arial"/>
          <w:sz w:val="19"/>
          <w:szCs w:val="19"/>
        </w:rPr>
        <w:t xml:space="preserve"> (-15,9%)</w:t>
      </w:r>
      <w:r w:rsidR="00390BBD">
        <w:rPr>
          <w:rFonts w:cs="Arial"/>
          <w:sz w:val="19"/>
          <w:szCs w:val="19"/>
        </w:rPr>
        <w:t xml:space="preserve"> y C. Valenciana</w:t>
      </w:r>
      <w:r w:rsidR="0054069B">
        <w:rPr>
          <w:rFonts w:cs="Arial"/>
          <w:sz w:val="19"/>
          <w:szCs w:val="19"/>
        </w:rPr>
        <w:t xml:space="preserve"> (-12,5%)</w:t>
      </w:r>
      <w:r w:rsidR="00B54855">
        <w:rPr>
          <w:rFonts w:cs="Arial"/>
          <w:sz w:val="19"/>
          <w:szCs w:val="19"/>
        </w:rPr>
        <w:t xml:space="preserve">, </w:t>
      </w:r>
      <w:r w:rsidR="0054069B">
        <w:rPr>
          <w:rFonts w:cs="Arial"/>
          <w:sz w:val="19"/>
          <w:szCs w:val="19"/>
        </w:rPr>
        <w:t>todas ellas afectadas por los prob</w:t>
      </w:r>
      <w:r w:rsidR="00A23D0D">
        <w:rPr>
          <w:rFonts w:cs="Arial"/>
          <w:sz w:val="19"/>
          <w:szCs w:val="19"/>
        </w:rPr>
        <w:t>lemas inmobiliarios y</w:t>
      </w:r>
      <w:r w:rsidR="007641A9">
        <w:rPr>
          <w:rFonts w:cs="Arial"/>
          <w:sz w:val="19"/>
          <w:szCs w:val="19"/>
        </w:rPr>
        <w:t xml:space="preserve"> </w:t>
      </w:r>
      <w:r w:rsidR="007641A9" w:rsidRPr="007641A9">
        <w:rPr>
          <w:rFonts w:cs="Arial"/>
          <w:sz w:val="19"/>
          <w:szCs w:val="19"/>
        </w:rPr>
        <w:t xml:space="preserve">las malas cifras del turismo. </w:t>
      </w:r>
    </w:p>
    <w:p w:rsidR="00A23D0D" w:rsidRPr="00A23D0D" w:rsidRDefault="00A23D0D" w:rsidP="00A54117">
      <w:pPr>
        <w:ind w:right="-81"/>
        <w:jc w:val="both"/>
        <w:rPr>
          <w:rFonts w:cs="Arial"/>
          <w:sz w:val="10"/>
          <w:szCs w:val="10"/>
        </w:rPr>
      </w:pPr>
    </w:p>
    <w:p w:rsidR="00CA4B9B" w:rsidRPr="007641A9" w:rsidRDefault="00A23D0D" w:rsidP="00A54117">
      <w:pPr>
        <w:ind w:right="-81"/>
        <w:jc w:val="both"/>
        <w:rPr>
          <w:rFonts w:cs="Arial"/>
          <w:sz w:val="19"/>
          <w:szCs w:val="19"/>
        </w:rPr>
      </w:pPr>
      <w:r>
        <w:rPr>
          <w:rFonts w:cs="Arial"/>
          <w:sz w:val="19"/>
          <w:szCs w:val="19"/>
        </w:rPr>
        <w:t xml:space="preserve">En el lado opuesto, se encuentra Asturias, que en contra de la tendencia nacional </w:t>
      </w:r>
      <w:r w:rsidR="00A32287">
        <w:rPr>
          <w:rFonts w:cs="Arial"/>
          <w:sz w:val="19"/>
          <w:szCs w:val="19"/>
        </w:rPr>
        <w:t>aumentó</w:t>
      </w:r>
      <w:r w:rsidR="00295A84">
        <w:rPr>
          <w:rFonts w:cs="Arial"/>
          <w:sz w:val="19"/>
          <w:szCs w:val="19"/>
        </w:rPr>
        <w:t xml:space="preserve"> su gasto</w:t>
      </w:r>
      <w:r>
        <w:rPr>
          <w:rFonts w:cs="Arial"/>
          <w:sz w:val="19"/>
          <w:szCs w:val="19"/>
        </w:rPr>
        <w:t xml:space="preserve"> al 7,8% (es la única CCAA que ha incrementado </w:t>
      </w:r>
      <w:r w:rsidR="00295A84">
        <w:rPr>
          <w:rFonts w:cs="Arial"/>
          <w:sz w:val="19"/>
          <w:szCs w:val="19"/>
        </w:rPr>
        <w:t>su gasto total</w:t>
      </w:r>
      <w:r>
        <w:rPr>
          <w:rFonts w:cs="Arial"/>
          <w:sz w:val="19"/>
          <w:szCs w:val="19"/>
        </w:rPr>
        <w:t xml:space="preserve"> y la única que ve aumentar prácticamente todas </w:t>
      </w:r>
      <w:r w:rsidR="00295A84">
        <w:rPr>
          <w:rFonts w:cs="Arial"/>
          <w:sz w:val="19"/>
          <w:szCs w:val="19"/>
        </w:rPr>
        <w:t>las</w:t>
      </w:r>
      <w:r>
        <w:rPr>
          <w:rFonts w:cs="Arial"/>
          <w:sz w:val="19"/>
          <w:szCs w:val="19"/>
        </w:rPr>
        <w:t xml:space="preserve"> partidas de gasto). Le siguen, País Vasco (-0,3%), Navarra (-0,7%) y La Rioja (-2,8%). </w:t>
      </w:r>
      <w:r w:rsidR="007641A9" w:rsidRPr="007641A9">
        <w:rPr>
          <w:rFonts w:cs="Arial"/>
          <w:sz w:val="19"/>
          <w:szCs w:val="19"/>
        </w:rPr>
        <w:t>Las cifras de caída más intensas no pueden achacarse al comportamiento de un grupo concreto de gasto, sino que son generales a todos los grupos de gasto, al presentar menores ritmos de variación en prácticamente todos los tipos, estando más asociadas al deterioro de su entorno económico</w:t>
      </w:r>
      <w:r w:rsidR="005F21AF">
        <w:rPr>
          <w:rFonts w:cs="Arial"/>
          <w:sz w:val="19"/>
          <w:szCs w:val="19"/>
        </w:rPr>
        <w:t>.</w:t>
      </w:r>
    </w:p>
    <w:p w:rsidR="00CA4B9B" w:rsidRPr="00A23D0D" w:rsidRDefault="00CA4B9B" w:rsidP="00A54117">
      <w:pPr>
        <w:ind w:right="-81"/>
        <w:jc w:val="both"/>
        <w:rPr>
          <w:rFonts w:cs="Arial"/>
          <w:sz w:val="12"/>
          <w:szCs w:val="12"/>
        </w:rPr>
      </w:pPr>
    </w:p>
    <w:p w:rsidR="00CA4B9B" w:rsidRPr="00EF2E44" w:rsidRDefault="00A23D0D" w:rsidP="00295A84">
      <w:pPr>
        <w:pStyle w:val="Prrafodelista"/>
        <w:numPr>
          <w:ilvl w:val="0"/>
          <w:numId w:val="2"/>
        </w:numPr>
        <w:ind w:right="-81"/>
        <w:jc w:val="both"/>
        <w:rPr>
          <w:rFonts w:cs="Arial"/>
          <w:b/>
          <w:color w:val="000080"/>
          <w:sz w:val="19"/>
          <w:szCs w:val="19"/>
        </w:rPr>
      </w:pPr>
      <w:r w:rsidRPr="00EF2E44">
        <w:rPr>
          <w:rFonts w:cs="Arial"/>
          <w:b/>
          <w:color w:val="000080"/>
          <w:sz w:val="19"/>
          <w:szCs w:val="19"/>
        </w:rPr>
        <w:t>Los hogares</w:t>
      </w:r>
      <w:r w:rsidR="000301BC">
        <w:rPr>
          <w:rFonts w:cs="Arial"/>
          <w:b/>
          <w:color w:val="000080"/>
          <w:sz w:val="19"/>
          <w:szCs w:val="19"/>
        </w:rPr>
        <w:t xml:space="preserve"> de</w:t>
      </w:r>
      <w:bookmarkStart w:id="0" w:name="_GoBack"/>
      <w:bookmarkEnd w:id="0"/>
      <w:r w:rsidRPr="00EF2E44">
        <w:rPr>
          <w:rFonts w:cs="Arial"/>
          <w:b/>
          <w:color w:val="000080"/>
          <w:sz w:val="19"/>
          <w:szCs w:val="19"/>
        </w:rPr>
        <w:t xml:space="preserve"> País Vasco, I. Baleares, Madrid y Cataluña prácticamente dedican un tercio de su presupuesto a la vivienda</w:t>
      </w:r>
    </w:p>
    <w:p w:rsidR="00F95532" w:rsidRPr="00F95532" w:rsidRDefault="00F95532" w:rsidP="00A54117">
      <w:pPr>
        <w:ind w:right="-81"/>
        <w:jc w:val="both"/>
        <w:rPr>
          <w:rFonts w:cs="Arial"/>
          <w:b/>
          <w:color w:val="000080"/>
          <w:sz w:val="10"/>
          <w:szCs w:val="10"/>
          <w:u w:val="single"/>
        </w:rPr>
      </w:pPr>
    </w:p>
    <w:p w:rsidR="00A23D0D" w:rsidRDefault="00F95532" w:rsidP="00A23D0D">
      <w:pPr>
        <w:keepNext/>
        <w:jc w:val="both"/>
        <w:rPr>
          <w:rFonts w:cs="Arial"/>
          <w:sz w:val="19"/>
          <w:szCs w:val="19"/>
        </w:rPr>
      </w:pPr>
      <w:r>
        <w:rPr>
          <w:rFonts w:cs="Arial"/>
          <w:sz w:val="19"/>
          <w:szCs w:val="19"/>
        </w:rPr>
        <w:t>E</w:t>
      </w:r>
      <w:r w:rsidR="00A23D0D" w:rsidRPr="00A23D0D">
        <w:rPr>
          <w:rFonts w:cs="Arial"/>
          <w:sz w:val="19"/>
          <w:szCs w:val="19"/>
        </w:rPr>
        <w:t xml:space="preserve">xiste una relación positiva significativa entre el gasto medio por hogar de las familias y el gasto medio por hogar en vivienda, e incluso con el peso que representa este componente dentro del total de gasto. Así, destaca el porcentaje que representa este grupo en las Comunidades de País Vasco (32,9%), Islas Baleares (32,2%), Madrid (32,1%) y Cataluña (31,9%). Por otro lado, los gastos en vivienda representan dentro del presupuesto sólo un 25,7% en Extremadura, 27,1% en Andalucía, y 27,5% en Galicia. </w:t>
      </w:r>
    </w:p>
    <w:p w:rsidR="00F95532" w:rsidRPr="00F95532" w:rsidRDefault="00F95532" w:rsidP="00A23D0D">
      <w:pPr>
        <w:keepNext/>
        <w:jc w:val="both"/>
        <w:rPr>
          <w:rFonts w:cs="Arial"/>
          <w:sz w:val="10"/>
          <w:szCs w:val="10"/>
        </w:rPr>
      </w:pPr>
    </w:p>
    <w:p w:rsidR="00A23D0D" w:rsidRDefault="00A23D0D" w:rsidP="00A23D0D">
      <w:pPr>
        <w:ind w:right="-81"/>
        <w:jc w:val="both"/>
        <w:rPr>
          <w:rFonts w:cs="Arial"/>
          <w:sz w:val="19"/>
          <w:szCs w:val="19"/>
        </w:rPr>
      </w:pPr>
      <w:r w:rsidRPr="00A23D0D">
        <w:rPr>
          <w:rFonts w:cs="Arial"/>
          <w:sz w:val="19"/>
          <w:szCs w:val="19"/>
        </w:rPr>
        <w:t>Del mismo modo, existe una correlación positiva entre el nivel de gasto medio por hogar y el gasto en “Enseñanza, salud y transporte”. A mayor nivel de PIB per cápita obtenemos también mayor gasto en esta partida. No obstante, si calculamos el porcentaje que representa esta partida sobre el total del gasto encontramos la relación inversa, como resultado del peso que tienen otros componentes, como el de la vivienda, en el total de gasto de las regiones con mayor PIB per cápita. Así, encontramos, por ejemplo, País Vasco, Cataluña o Madrid entre las regiones con un peso por debajo de la media, mientras que Extremadura muestra el mayor porcentaje, con un 18,3% del total de su gasto. De esta forma, el gasto en esta partida tiene un menor peso relativo sobre el total del</w:t>
      </w:r>
      <w:r w:rsidR="00A32287">
        <w:rPr>
          <w:rFonts w:cs="Arial"/>
          <w:sz w:val="19"/>
          <w:szCs w:val="19"/>
        </w:rPr>
        <w:t xml:space="preserve"> gasto que otras partidas</w:t>
      </w:r>
      <w:r w:rsidRPr="00A23D0D">
        <w:rPr>
          <w:rFonts w:cs="Arial"/>
          <w:sz w:val="19"/>
          <w:szCs w:val="19"/>
        </w:rPr>
        <w:t xml:space="preserve"> en aquellas regiones con mayor PIB per cápita.</w:t>
      </w:r>
    </w:p>
    <w:p w:rsidR="00DE119B" w:rsidRDefault="00DE119B" w:rsidP="00DE119B">
      <w:pPr>
        <w:pStyle w:val="Sangradetextonormal"/>
        <w:ind w:left="0"/>
        <w:jc w:val="center"/>
        <w:rPr>
          <w:rFonts w:cs="Arial"/>
          <w:b w:val="0"/>
          <w:bCs w:val="0"/>
          <w:sz w:val="19"/>
          <w:szCs w:val="19"/>
        </w:rPr>
      </w:pPr>
    </w:p>
    <w:p w:rsidR="005F21AF" w:rsidRPr="00A23D0D" w:rsidRDefault="005F21AF" w:rsidP="00DE119B">
      <w:pPr>
        <w:pStyle w:val="Sangradetextonormal"/>
        <w:ind w:left="0"/>
        <w:jc w:val="center"/>
        <w:rPr>
          <w:rFonts w:cs="Arial"/>
          <w:b w:val="0"/>
          <w:bCs w:val="0"/>
          <w:sz w:val="19"/>
          <w:szCs w:val="19"/>
        </w:rPr>
      </w:pPr>
    </w:p>
    <w:p w:rsidR="00DE119B" w:rsidRPr="00A23D0D" w:rsidRDefault="00DE119B" w:rsidP="00DE119B">
      <w:pPr>
        <w:pStyle w:val="Sangradetextonormal"/>
        <w:ind w:left="0"/>
        <w:jc w:val="center"/>
        <w:rPr>
          <w:rFonts w:cs="Arial"/>
          <w:b w:val="0"/>
          <w:bCs w:val="0"/>
          <w:sz w:val="19"/>
          <w:szCs w:val="19"/>
        </w:rPr>
      </w:pPr>
    </w:p>
    <w:p w:rsidR="00DE119B" w:rsidRPr="00EF2E44" w:rsidRDefault="00FE57B9" w:rsidP="00DE119B">
      <w:pPr>
        <w:pStyle w:val="Sangradetextonormal"/>
        <w:ind w:left="0"/>
        <w:jc w:val="center"/>
        <w:rPr>
          <w:i/>
          <w:color w:val="CC0000"/>
          <w:sz w:val="18"/>
          <w:szCs w:val="18"/>
        </w:rPr>
      </w:pPr>
      <w:r>
        <w:rPr>
          <w:rFonts w:cs="Arial"/>
          <w:b w:val="0"/>
          <w:bCs w:val="0"/>
          <w:noProof/>
          <w:sz w:val="10"/>
          <w:szCs w:val="10"/>
        </w:rPr>
        <mc:AlternateContent>
          <mc:Choice Requires="wps">
            <w:drawing>
              <wp:anchor distT="0" distB="0" distL="114300" distR="114300" simplePos="0" relativeHeight="251662336" behindDoc="0" locked="0" layoutInCell="1" allowOverlap="1" wp14:anchorId="05BA7E61" wp14:editId="5E8F0137">
                <wp:simplePos x="0" y="0"/>
                <wp:positionH relativeFrom="column">
                  <wp:posOffset>1257300</wp:posOffset>
                </wp:positionH>
                <wp:positionV relativeFrom="paragraph">
                  <wp:posOffset>125730</wp:posOffset>
                </wp:positionV>
                <wp:extent cx="3676650" cy="0"/>
                <wp:effectExtent l="0" t="0" r="19050" b="19050"/>
                <wp:wrapNone/>
                <wp:docPr id="5" name="5 Conector recto"/>
                <wp:cNvGraphicFramePr/>
                <a:graphic xmlns:a="http://schemas.openxmlformats.org/drawingml/2006/main">
                  <a:graphicData uri="http://schemas.microsoft.com/office/word/2010/wordprocessingShape">
                    <wps:wsp>
                      <wps:cNvCnPr/>
                      <wps:spPr>
                        <a:xfrm>
                          <a:off x="0" y="0"/>
                          <a:ext cx="3676650" cy="0"/>
                        </a:xfrm>
                        <a:prstGeom prst="line">
                          <a:avLst/>
                        </a:prstGeom>
                        <a:ln>
                          <a:solidFill>
                            <a:srgbClr val="CC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5 Conector recto"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pt,9.9pt" to="38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" strokecolor="#c00"/>
            </w:pict>
          </mc:Fallback>
        </mc:AlternateContent>
      </w:r>
      <w:r w:rsidR="00DE119B" w:rsidRPr="00EF2E44">
        <w:rPr>
          <w:i/>
          <w:color w:val="CC0000"/>
          <w:sz w:val="18"/>
          <w:szCs w:val="18"/>
        </w:rPr>
        <w:t xml:space="preserve">Destacado del mes, por José Antonio </w:t>
      </w:r>
      <w:proofErr w:type="spellStart"/>
      <w:r w:rsidR="00DE119B" w:rsidRPr="00EF2E44">
        <w:rPr>
          <w:i/>
          <w:color w:val="CC0000"/>
          <w:sz w:val="18"/>
          <w:szCs w:val="18"/>
        </w:rPr>
        <w:t>Herce</w:t>
      </w:r>
      <w:proofErr w:type="spellEnd"/>
      <w:r w:rsidR="00DE119B" w:rsidRPr="00EF2E44">
        <w:rPr>
          <w:i/>
          <w:color w:val="CC0000"/>
          <w:sz w:val="18"/>
          <w:szCs w:val="18"/>
        </w:rPr>
        <w:t xml:space="preserve">, Socio de </w:t>
      </w:r>
      <w:proofErr w:type="spellStart"/>
      <w:r w:rsidR="00DE119B" w:rsidRPr="00EF2E44">
        <w:rPr>
          <w:i/>
          <w:color w:val="CC0000"/>
          <w:sz w:val="18"/>
          <w:szCs w:val="18"/>
        </w:rPr>
        <w:t>Afi</w:t>
      </w:r>
      <w:proofErr w:type="spellEnd"/>
    </w:p>
    <w:p w:rsidR="00DE119B" w:rsidRPr="00F95532" w:rsidRDefault="00DE119B" w:rsidP="00DE119B">
      <w:pPr>
        <w:pStyle w:val="Sangradetextonormal"/>
        <w:ind w:left="0"/>
        <w:jc w:val="center"/>
        <w:rPr>
          <w:rFonts w:cs="Arial"/>
          <w:b w:val="0"/>
          <w:bCs w:val="0"/>
          <w:sz w:val="10"/>
          <w:szCs w:val="10"/>
        </w:rPr>
      </w:pPr>
    </w:p>
    <w:p w:rsidR="00DE119B" w:rsidRPr="00F95532" w:rsidRDefault="00B57D71" w:rsidP="00DE119B">
      <w:pPr>
        <w:pStyle w:val="Sangradetextonormal"/>
        <w:ind w:left="0"/>
        <w:jc w:val="center"/>
        <w:rPr>
          <w:color w:val="CC0000"/>
          <w:sz w:val="18"/>
          <w:szCs w:val="18"/>
        </w:rPr>
      </w:pPr>
      <w:r w:rsidRPr="00F95532">
        <w:rPr>
          <w:color w:val="CC0000"/>
          <w:sz w:val="18"/>
          <w:szCs w:val="18"/>
        </w:rPr>
        <w:t>Contra el vértigo laboral</w:t>
      </w:r>
    </w:p>
    <w:p w:rsidR="00DE119B" w:rsidRPr="00F95532" w:rsidRDefault="00DE119B" w:rsidP="00DE119B">
      <w:pPr>
        <w:pStyle w:val="Sangradetextonormal"/>
        <w:ind w:left="0"/>
        <w:jc w:val="center"/>
        <w:rPr>
          <w:i/>
          <w:color w:val="CC0000"/>
          <w:sz w:val="10"/>
          <w:szCs w:val="10"/>
          <w:u w:val="single"/>
        </w:rPr>
      </w:pPr>
    </w:p>
    <w:p w:rsidR="00DE119B" w:rsidRPr="00F95532" w:rsidRDefault="00DE119B" w:rsidP="00DE119B">
      <w:pPr>
        <w:autoSpaceDE w:val="0"/>
        <w:autoSpaceDN w:val="0"/>
        <w:adjustRightInd w:val="0"/>
        <w:jc w:val="both"/>
        <w:rPr>
          <w:rFonts w:cs="ArialMT-Bold"/>
          <w:b/>
          <w:bCs/>
          <w:i/>
          <w:color w:val="231F20"/>
          <w:sz w:val="18"/>
          <w:szCs w:val="18"/>
        </w:rPr>
      </w:pPr>
      <w:r w:rsidRPr="00F95532">
        <w:rPr>
          <w:rFonts w:cs="Arial"/>
          <w:b/>
          <w:bCs/>
          <w:i/>
          <w:sz w:val="18"/>
          <w:szCs w:val="18"/>
        </w:rPr>
        <w:t>“</w:t>
      </w:r>
      <w:r w:rsidRPr="00F95532">
        <w:rPr>
          <w:b/>
          <w:i/>
          <w:sz w:val="18"/>
          <w:szCs w:val="18"/>
        </w:rPr>
        <w:t>…</w:t>
      </w:r>
      <w:r w:rsidR="00BF74FE" w:rsidRPr="00F95532">
        <w:rPr>
          <w:rFonts w:cs="Arial"/>
          <w:i/>
          <w:sz w:val="18"/>
          <w:szCs w:val="18"/>
        </w:rPr>
        <w:t>sólo una iniciativa masiva, unánime e inmediata contra el paro detendrá la sangría que no cesa en el mercado de trabajo español</w:t>
      </w:r>
      <w:r w:rsidR="00F95532" w:rsidRPr="00F95532">
        <w:rPr>
          <w:rFonts w:cs="Arial"/>
          <w:i/>
          <w:sz w:val="18"/>
          <w:szCs w:val="18"/>
        </w:rPr>
        <w:t>.</w:t>
      </w:r>
      <w:r w:rsidR="00F95532">
        <w:rPr>
          <w:rFonts w:cs="Arial"/>
          <w:i/>
          <w:sz w:val="18"/>
          <w:szCs w:val="18"/>
        </w:rPr>
        <w:t xml:space="preserve"> </w:t>
      </w:r>
      <w:r w:rsidR="00BF74FE" w:rsidRPr="00F95532">
        <w:rPr>
          <w:rFonts w:cs="Arial"/>
          <w:i/>
          <w:sz w:val="18"/>
          <w:szCs w:val="18"/>
        </w:rPr>
        <w:t>La negociación colectiva, los salarios, los costes de despido, las figuras contractuales, la formación para el empleo y los instrumentos fiscales para la reinversión de beneficios de las empresas deben afilarse hasta conseguir cortar la sangría laboral. Con el apoyo de un sistema de elaboración de normas que en menos de tres meses ponga en marcha las medidas necesarias. Antes de que cantemos los 5,5 millones de parados</w:t>
      </w:r>
      <w:r w:rsidRPr="00F95532">
        <w:rPr>
          <w:rFonts w:eastAsia="Calibri" w:cs="Arial"/>
          <w:i/>
          <w:sz w:val="18"/>
          <w:szCs w:val="18"/>
          <w:lang w:eastAsia="en-US"/>
        </w:rPr>
        <w:t>.</w:t>
      </w:r>
      <w:r w:rsidRPr="00F95532">
        <w:rPr>
          <w:rFonts w:cs="Arial"/>
          <w:i/>
          <w:sz w:val="18"/>
          <w:szCs w:val="18"/>
        </w:rPr>
        <w:t>...</w:t>
      </w:r>
      <w:r w:rsidRPr="00F95532">
        <w:rPr>
          <w:rFonts w:cs="Arial"/>
          <w:b/>
          <w:i/>
          <w:sz w:val="18"/>
          <w:szCs w:val="18"/>
        </w:rPr>
        <w:t>”</w:t>
      </w:r>
    </w:p>
    <w:p w:rsidR="00DE119B" w:rsidRDefault="00DE119B" w:rsidP="00DE119B">
      <w:pPr>
        <w:autoSpaceDE w:val="0"/>
        <w:autoSpaceDN w:val="0"/>
        <w:adjustRightInd w:val="0"/>
        <w:ind w:right="279"/>
        <w:rPr>
          <w:rFonts w:cs="Arial"/>
          <w:b/>
          <w:bCs/>
          <w:color w:val="999999"/>
          <w:sz w:val="19"/>
          <w:szCs w:val="19"/>
          <w:u w:val="single"/>
        </w:rPr>
      </w:pPr>
    </w:p>
    <w:p w:rsidR="00EF2E44" w:rsidRDefault="00EF2E44" w:rsidP="00DE119B">
      <w:pPr>
        <w:autoSpaceDE w:val="0"/>
        <w:autoSpaceDN w:val="0"/>
        <w:adjustRightInd w:val="0"/>
        <w:ind w:right="279"/>
        <w:rPr>
          <w:rFonts w:cs="Arial"/>
          <w:b/>
          <w:bCs/>
          <w:color w:val="BFBFBF" w:themeColor="background1" w:themeShade="BF"/>
          <w:sz w:val="20"/>
          <w:szCs w:val="20"/>
        </w:rPr>
      </w:pPr>
    </w:p>
    <w:p w:rsidR="005F21AF" w:rsidRPr="005F1418" w:rsidRDefault="005F21AF" w:rsidP="00DE119B">
      <w:pPr>
        <w:autoSpaceDE w:val="0"/>
        <w:autoSpaceDN w:val="0"/>
        <w:adjustRightInd w:val="0"/>
        <w:ind w:right="279"/>
        <w:rPr>
          <w:rFonts w:cs="Arial"/>
          <w:b/>
          <w:bCs/>
          <w:color w:val="BFBFBF" w:themeColor="background1" w:themeShade="BF"/>
          <w:sz w:val="20"/>
          <w:szCs w:val="20"/>
        </w:rPr>
      </w:pPr>
    </w:p>
    <w:p w:rsidR="00DE119B" w:rsidRPr="005F1418" w:rsidRDefault="00DE119B" w:rsidP="00DE119B">
      <w:pPr>
        <w:autoSpaceDE w:val="0"/>
        <w:autoSpaceDN w:val="0"/>
        <w:adjustRightInd w:val="0"/>
        <w:ind w:right="279"/>
        <w:rPr>
          <w:rFonts w:cs="Arial"/>
          <w:b/>
          <w:bCs/>
          <w:color w:val="BFBFBF" w:themeColor="background1" w:themeShade="BF"/>
          <w:sz w:val="18"/>
          <w:szCs w:val="18"/>
        </w:rPr>
      </w:pPr>
      <w:r w:rsidRPr="005F1418">
        <w:rPr>
          <w:rFonts w:cs="Arial"/>
          <w:b/>
          <w:bCs/>
          <w:color w:val="BFBFBF" w:themeColor="background1" w:themeShade="BF"/>
          <w:sz w:val="20"/>
          <w:szCs w:val="20"/>
        </w:rPr>
        <w:t>Para más información:</w:t>
      </w:r>
    </w:p>
    <w:p w:rsidR="00EF2E44" w:rsidRPr="005F1418" w:rsidRDefault="00EF2E44" w:rsidP="00DE119B">
      <w:pPr>
        <w:autoSpaceDE w:val="0"/>
        <w:autoSpaceDN w:val="0"/>
        <w:adjustRightInd w:val="0"/>
        <w:ind w:right="279"/>
        <w:rPr>
          <w:rFonts w:cs="Arial"/>
          <w:b/>
          <w:color w:val="BFBFBF" w:themeColor="background1" w:themeShade="BF"/>
          <w:sz w:val="4"/>
          <w:szCs w:val="4"/>
          <w:u w:val="single"/>
        </w:rPr>
      </w:pPr>
    </w:p>
    <w:p w:rsidR="00BF74FE" w:rsidRPr="005F1418" w:rsidRDefault="005F1418" w:rsidP="00DE119B">
      <w:pPr>
        <w:autoSpaceDE w:val="0"/>
        <w:autoSpaceDN w:val="0"/>
        <w:adjustRightInd w:val="0"/>
        <w:ind w:right="279"/>
        <w:rPr>
          <w:rFonts w:cs="Arial"/>
          <w:b/>
          <w:color w:val="BFBFBF" w:themeColor="background1" w:themeShade="BF"/>
          <w:sz w:val="20"/>
          <w:szCs w:val="20"/>
        </w:rPr>
      </w:pPr>
      <w:r w:rsidRPr="005F1418">
        <w:rPr>
          <w:rFonts w:cs="Arial"/>
          <w:b/>
          <w:bCs/>
          <w:noProof/>
          <w:color w:val="A6A6A6" w:themeColor="background1" w:themeShade="A6"/>
          <w:sz w:val="18"/>
          <w:szCs w:val="18"/>
          <w:u w:val="single"/>
        </w:rPr>
        <mc:AlternateContent>
          <mc:Choice Requires="wps">
            <w:drawing>
              <wp:anchor distT="0" distB="0" distL="114300" distR="114300" simplePos="0" relativeHeight="251661312" behindDoc="0" locked="0" layoutInCell="1" allowOverlap="1" wp14:anchorId="5CDAADE6" wp14:editId="4C4E31F6">
                <wp:simplePos x="0" y="0"/>
                <wp:positionH relativeFrom="column">
                  <wp:posOffset>-19050</wp:posOffset>
                </wp:positionH>
                <wp:positionV relativeFrom="paragraph">
                  <wp:posOffset>-3175</wp:posOffset>
                </wp:positionV>
                <wp:extent cx="2581275" cy="0"/>
                <wp:effectExtent l="0" t="0" r="9525" b="19050"/>
                <wp:wrapNone/>
                <wp:docPr id="4" name="4 Conector recto"/>
                <wp:cNvGraphicFramePr/>
                <a:graphic xmlns:a="http://schemas.openxmlformats.org/drawingml/2006/main">
                  <a:graphicData uri="http://schemas.microsoft.com/office/word/2010/wordprocessingShape">
                    <wps:wsp>
                      <wps:cNvCnPr/>
                      <wps:spPr>
                        <a:xfrm>
                          <a:off x="0" y="0"/>
                          <a:ext cx="258127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5pt" to="201.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" strokecolor="#a5a5a5 [2092]"/>
            </w:pict>
          </mc:Fallback>
        </mc:AlternateContent>
      </w:r>
      <w:r w:rsidR="00BF74FE" w:rsidRPr="005F1418">
        <w:rPr>
          <w:rFonts w:cs="Arial"/>
          <w:b/>
          <w:color w:val="BFBFBF" w:themeColor="background1" w:themeShade="BF"/>
          <w:sz w:val="20"/>
          <w:szCs w:val="20"/>
        </w:rPr>
        <w:t>Leire Hurtado</w:t>
      </w:r>
    </w:p>
    <w:p w:rsidR="00DE119B" w:rsidRPr="005F1418" w:rsidRDefault="00BF74FE" w:rsidP="00DE119B">
      <w:pPr>
        <w:autoSpaceDE w:val="0"/>
        <w:autoSpaceDN w:val="0"/>
        <w:adjustRightInd w:val="0"/>
        <w:ind w:right="279"/>
        <w:rPr>
          <w:rFonts w:cs="Arial"/>
          <w:b/>
          <w:color w:val="BFBFBF" w:themeColor="background1" w:themeShade="BF"/>
          <w:sz w:val="20"/>
          <w:szCs w:val="20"/>
        </w:rPr>
      </w:pPr>
      <w:r w:rsidRPr="005F1418">
        <w:rPr>
          <w:rFonts w:cs="Arial"/>
          <w:b/>
          <w:color w:val="BFBFBF" w:themeColor="background1" w:themeShade="BF"/>
          <w:sz w:val="20"/>
          <w:szCs w:val="20"/>
        </w:rPr>
        <w:t xml:space="preserve">Jefa de Prensa </w:t>
      </w:r>
      <w:r w:rsidR="00DE119B" w:rsidRPr="005F1418">
        <w:rPr>
          <w:rFonts w:cs="Arial"/>
          <w:b/>
          <w:color w:val="BFBFBF" w:themeColor="background1" w:themeShade="BF"/>
          <w:sz w:val="20"/>
          <w:szCs w:val="20"/>
        </w:rPr>
        <w:t>AGETT</w:t>
      </w:r>
    </w:p>
    <w:p w:rsidR="00BF74FE" w:rsidRPr="005F1418" w:rsidRDefault="00DE119B" w:rsidP="00DE119B">
      <w:pPr>
        <w:autoSpaceDE w:val="0"/>
        <w:autoSpaceDN w:val="0"/>
        <w:adjustRightInd w:val="0"/>
        <w:ind w:right="279"/>
        <w:rPr>
          <w:rFonts w:cs="Arial"/>
          <w:b/>
          <w:bCs/>
          <w:color w:val="BFBFBF" w:themeColor="background1" w:themeShade="BF"/>
          <w:sz w:val="20"/>
          <w:szCs w:val="20"/>
        </w:rPr>
      </w:pPr>
      <w:r w:rsidRPr="005F1418">
        <w:rPr>
          <w:rFonts w:cs="Arial"/>
          <w:b/>
          <w:color w:val="BFBFBF" w:themeColor="background1" w:themeShade="BF"/>
          <w:sz w:val="20"/>
          <w:szCs w:val="20"/>
        </w:rPr>
        <w:t>Tlf: 91 598 06 74</w:t>
      </w:r>
      <w:r w:rsidRPr="005F1418">
        <w:rPr>
          <w:rFonts w:cs="Arial"/>
          <w:b/>
          <w:bCs/>
          <w:color w:val="BFBFBF" w:themeColor="background1" w:themeShade="BF"/>
          <w:sz w:val="20"/>
          <w:szCs w:val="20"/>
        </w:rPr>
        <w:t xml:space="preserve"> </w:t>
      </w:r>
      <w:r w:rsidR="00F95532" w:rsidRPr="005F1418">
        <w:rPr>
          <w:rFonts w:cs="Arial"/>
          <w:b/>
          <w:bCs/>
          <w:color w:val="BFBFBF" w:themeColor="background1" w:themeShade="BF"/>
          <w:sz w:val="20"/>
          <w:szCs w:val="20"/>
        </w:rPr>
        <w:t>-</w:t>
      </w:r>
      <w:r w:rsidR="00BF74FE" w:rsidRPr="005F1418">
        <w:rPr>
          <w:rFonts w:cs="Arial"/>
          <w:b/>
          <w:bCs/>
          <w:color w:val="BFBFBF" w:themeColor="background1" w:themeShade="BF"/>
          <w:sz w:val="20"/>
          <w:szCs w:val="20"/>
        </w:rPr>
        <w:t xml:space="preserve"> 689 054 875</w:t>
      </w:r>
    </w:p>
    <w:p w:rsidR="00FD24D6" w:rsidRPr="005F1418" w:rsidRDefault="00BF74FE" w:rsidP="00F95532">
      <w:pPr>
        <w:autoSpaceDE w:val="0"/>
        <w:autoSpaceDN w:val="0"/>
        <w:adjustRightInd w:val="0"/>
        <w:ind w:right="279"/>
        <w:jc w:val="both"/>
        <w:rPr>
          <w:sz w:val="20"/>
          <w:szCs w:val="20"/>
        </w:rPr>
      </w:pPr>
      <w:r w:rsidRPr="005F1418">
        <w:rPr>
          <w:rFonts w:cs="Arial"/>
          <w:b/>
          <w:bCs/>
          <w:color w:val="BFBFBF" w:themeColor="background1" w:themeShade="BF"/>
          <w:sz w:val="20"/>
          <w:szCs w:val="20"/>
        </w:rPr>
        <w:t>lhurtado</w:t>
      </w:r>
      <w:r w:rsidR="00DE119B" w:rsidRPr="005F1418">
        <w:rPr>
          <w:rFonts w:cs="Arial"/>
          <w:b/>
          <w:bCs/>
          <w:color w:val="BFBFBF" w:themeColor="background1" w:themeShade="BF"/>
          <w:sz w:val="20"/>
          <w:szCs w:val="20"/>
        </w:rPr>
        <w:t>@agett.com</w:t>
      </w:r>
    </w:p>
    <w:sectPr w:rsidR="00FD24D6" w:rsidRPr="005F1418" w:rsidSect="003D56D9">
      <w:headerReference w:type="default" r:id="rId8"/>
      <w:footerReference w:type="even"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E44" w:rsidRDefault="00EF2E44" w:rsidP="007C091E">
      <w:r>
        <w:separator/>
      </w:r>
    </w:p>
  </w:endnote>
  <w:endnote w:type="continuationSeparator" w:id="0">
    <w:p w:rsidR="00EF2E44" w:rsidRDefault="00EF2E44" w:rsidP="007C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wis721 BT">
    <w:altName w:val="Arial"/>
    <w:charset w:val="00"/>
    <w:family w:val="swiss"/>
    <w:pitch w:val="variable"/>
    <w:sig w:usb0="00000001" w:usb1="00000000" w:usb2="00000000" w:usb3="00000000" w:csb0="0000001B" w:csb1="00000000"/>
  </w:font>
  <w:font w:name="ArialM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E44" w:rsidRDefault="00EF2E44" w:rsidP="00BF74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F2E44" w:rsidRDefault="00EF2E44" w:rsidP="00BF74F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E44" w:rsidRPr="0048102B" w:rsidRDefault="00EF2E44" w:rsidP="00BF74FE">
    <w:pPr>
      <w:pStyle w:val="Piedepgina"/>
      <w:framePr w:wrap="around" w:vAnchor="text" w:hAnchor="margin" w:xAlign="right" w:y="1"/>
      <w:rPr>
        <w:rStyle w:val="Nmerodepgina"/>
        <w:rFonts w:ascii="Arial" w:hAnsi="Arial" w:cs="Arial"/>
        <w:color w:val="808080"/>
        <w:sz w:val="20"/>
        <w:szCs w:val="20"/>
      </w:rPr>
    </w:pPr>
    <w:r w:rsidRPr="0048102B">
      <w:rPr>
        <w:rStyle w:val="Nmerodepgina"/>
        <w:rFonts w:ascii="Arial" w:hAnsi="Arial" w:cs="Arial"/>
        <w:color w:val="808080"/>
        <w:sz w:val="20"/>
        <w:szCs w:val="20"/>
      </w:rPr>
      <w:fldChar w:fldCharType="begin"/>
    </w:r>
    <w:r w:rsidRPr="0048102B">
      <w:rPr>
        <w:rStyle w:val="Nmerodepgina"/>
        <w:rFonts w:ascii="Arial" w:hAnsi="Arial" w:cs="Arial"/>
        <w:color w:val="808080"/>
        <w:sz w:val="20"/>
        <w:szCs w:val="20"/>
      </w:rPr>
      <w:instrText xml:space="preserve">PAGE  </w:instrText>
    </w:r>
    <w:r w:rsidRPr="0048102B">
      <w:rPr>
        <w:rStyle w:val="Nmerodepgina"/>
        <w:rFonts w:ascii="Arial" w:hAnsi="Arial" w:cs="Arial"/>
        <w:color w:val="808080"/>
        <w:sz w:val="20"/>
        <w:szCs w:val="20"/>
      </w:rPr>
      <w:fldChar w:fldCharType="separate"/>
    </w:r>
    <w:r w:rsidR="000301BC">
      <w:rPr>
        <w:rStyle w:val="Nmerodepgina"/>
        <w:rFonts w:ascii="Arial" w:hAnsi="Arial" w:cs="Arial"/>
        <w:noProof/>
        <w:color w:val="808080"/>
        <w:sz w:val="20"/>
        <w:szCs w:val="20"/>
      </w:rPr>
      <w:t>3</w:t>
    </w:r>
    <w:r w:rsidRPr="0048102B">
      <w:rPr>
        <w:rStyle w:val="Nmerodepgina"/>
        <w:rFonts w:ascii="Arial" w:hAnsi="Arial" w:cs="Arial"/>
        <w:color w:val="808080"/>
        <w:sz w:val="20"/>
        <w:szCs w:val="20"/>
      </w:rPr>
      <w:fldChar w:fldCharType="end"/>
    </w:r>
  </w:p>
  <w:p w:rsidR="00EF2E44" w:rsidRDefault="00EF2E44" w:rsidP="00BF74FE">
    <w:pPr>
      <w:pStyle w:val="Piedepgina"/>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E44" w:rsidRDefault="00EF2E44" w:rsidP="007C091E">
      <w:r>
        <w:separator/>
      </w:r>
    </w:p>
  </w:footnote>
  <w:footnote w:type="continuationSeparator" w:id="0">
    <w:p w:rsidR="00EF2E44" w:rsidRDefault="00EF2E44" w:rsidP="007C0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E44" w:rsidRDefault="00EF2E44" w:rsidP="00333F87">
    <w:pPr>
      <w:pStyle w:val="Encabezado"/>
      <w:jc w:val="center"/>
    </w:pPr>
    <w:r>
      <w:rPr>
        <w:noProof/>
      </w:rPr>
      <w:drawing>
        <wp:anchor distT="0" distB="0" distL="114300" distR="114300" simplePos="0" relativeHeight="251659264" behindDoc="0" locked="0" layoutInCell="1" allowOverlap="1" wp14:anchorId="089AF863" wp14:editId="3C37AC02">
          <wp:simplePos x="0" y="0"/>
          <wp:positionH relativeFrom="column">
            <wp:posOffset>2514600</wp:posOffset>
          </wp:positionH>
          <wp:positionV relativeFrom="paragraph">
            <wp:posOffset>-249555</wp:posOffset>
          </wp:positionV>
          <wp:extent cx="1028066" cy="514350"/>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066"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140D8"/>
    <w:multiLevelType w:val="hybridMultilevel"/>
    <w:tmpl w:val="8A50A4DC"/>
    <w:lvl w:ilvl="0" w:tplc="9970067A">
      <w:start w:val="1"/>
      <w:numFmt w:val="bullet"/>
      <w:lvlText w:val=""/>
      <w:lvlJc w:val="left"/>
      <w:pPr>
        <w:tabs>
          <w:tab w:val="num" w:pos="360"/>
        </w:tabs>
        <w:ind w:left="360" w:hanging="360"/>
      </w:pPr>
      <w:rPr>
        <w:rFonts w:ascii="Wingdings" w:hAnsi="Wingdings" w:hint="default"/>
        <w:b/>
        <w:i w:val="0"/>
        <w:color w:val="C0C0C0"/>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6DEC4881"/>
    <w:multiLevelType w:val="hybridMultilevel"/>
    <w:tmpl w:val="A3EE5AD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19B"/>
    <w:rsid w:val="00027526"/>
    <w:rsid w:val="000301BC"/>
    <w:rsid w:val="000E7708"/>
    <w:rsid w:val="00187DF1"/>
    <w:rsid w:val="002679EC"/>
    <w:rsid w:val="00295A84"/>
    <w:rsid w:val="00333F87"/>
    <w:rsid w:val="00352A93"/>
    <w:rsid w:val="00390BBD"/>
    <w:rsid w:val="003D56D9"/>
    <w:rsid w:val="003F0B98"/>
    <w:rsid w:val="00525955"/>
    <w:rsid w:val="0054069B"/>
    <w:rsid w:val="00547D14"/>
    <w:rsid w:val="0059519D"/>
    <w:rsid w:val="00595692"/>
    <w:rsid w:val="005F1418"/>
    <w:rsid w:val="005F21AF"/>
    <w:rsid w:val="006C4488"/>
    <w:rsid w:val="00763954"/>
    <w:rsid w:val="007641A9"/>
    <w:rsid w:val="007C091E"/>
    <w:rsid w:val="007E3AAB"/>
    <w:rsid w:val="009069B8"/>
    <w:rsid w:val="009C0E2C"/>
    <w:rsid w:val="009E7C57"/>
    <w:rsid w:val="00A23D0D"/>
    <w:rsid w:val="00A32287"/>
    <w:rsid w:val="00A54117"/>
    <w:rsid w:val="00B50530"/>
    <w:rsid w:val="00B54855"/>
    <w:rsid w:val="00B57D71"/>
    <w:rsid w:val="00BF74FE"/>
    <w:rsid w:val="00C86DB4"/>
    <w:rsid w:val="00CA4B9B"/>
    <w:rsid w:val="00D94F5B"/>
    <w:rsid w:val="00DE119B"/>
    <w:rsid w:val="00ED5172"/>
    <w:rsid w:val="00EF2E44"/>
    <w:rsid w:val="00F73DC3"/>
    <w:rsid w:val="00F95532"/>
    <w:rsid w:val="00FD24D6"/>
    <w:rsid w:val="00FE57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117"/>
    <w:pPr>
      <w:spacing w:after="0" w:line="240" w:lineRule="auto"/>
    </w:pPr>
    <w:rPr>
      <w:rFonts w:ascii="Verdana" w:eastAsia="Times New Roman" w:hAnsi="Verdana" w:cs="Times New Roman"/>
      <w:szCs w:val="24"/>
      <w:lang w:eastAsia="es-ES"/>
    </w:rPr>
  </w:style>
  <w:style w:type="paragraph" w:styleId="Ttulo1">
    <w:name w:val="heading 1"/>
    <w:basedOn w:val="Normal"/>
    <w:next w:val="Normal"/>
    <w:link w:val="Ttulo1Car"/>
    <w:qFormat/>
    <w:rsid w:val="00DE119B"/>
    <w:pPr>
      <w:keepNext/>
      <w:jc w:val="center"/>
      <w:outlineLvl w:val="0"/>
    </w:pPr>
    <w:rPr>
      <w:b/>
      <w:bCs/>
    </w:rPr>
  </w:style>
  <w:style w:type="paragraph" w:styleId="Ttulo4">
    <w:name w:val="heading 4"/>
    <w:basedOn w:val="Normal"/>
    <w:next w:val="Normal"/>
    <w:link w:val="Ttulo4Car"/>
    <w:qFormat/>
    <w:rsid w:val="00DE119B"/>
    <w:pPr>
      <w:keepNext/>
      <w:ind w:left="-540" w:right="99"/>
      <w:jc w:val="center"/>
      <w:outlineLvl w:val="3"/>
    </w:pPr>
    <w:rPr>
      <w:b/>
      <w:bCs/>
    </w:rPr>
  </w:style>
  <w:style w:type="paragraph" w:styleId="Ttulo9">
    <w:name w:val="heading 9"/>
    <w:basedOn w:val="Normal"/>
    <w:next w:val="Normal"/>
    <w:link w:val="Ttulo9Car"/>
    <w:qFormat/>
    <w:rsid w:val="00DE119B"/>
    <w:pPr>
      <w:keepNext/>
      <w:outlineLvl w:val="8"/>
    </w:pPr>
    <w:rPr>
      <w:b/>
      <w:bCs/>
      <w:color w:val="333399"/>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119B"/>
    <w:rPr>
      <w:rFonts w:ascii="Verdana" w:eastAsia="Times New Roman" w:hAnsi="Verdana" w:cs="Times New Roman"/>
      <w:b/>
      <w:bCs/>
      <w:szCs w:val="24"/>
      <w:lang w:eastAsia="es-ES"/>
    </w:rPr>
  </w:style>
  <w:style w:type="character" w:customStyle="1" w:styleId="Ttulo4Car">
    <w:name w:val="Título 4 Car"/>
    <w:basedOn w:val="Fuentedeprrafopredeter"/>
    <w:link w:val="Ttulo4"/>
    <w:rsid w:val="00DE119B"/>
    <w:rPr>
      <w:rFonts w:ascii="Verdana" w:eastAsia="Times New Roman" w:hAnsi="Verdana" w:cs="Times New Roman"/>
      <w:b/>
      <w:bCs/>
      <w:szCs w:val="24"/>
      <w:lang w:eastAsia="es-ES"/>
    </w:rPr>
  </w:style>
  <w:style w:type="character" w:customStyle="1" w:styleId="Ttulo9Car">
    <w:name w:val="Título 9 Car"/>
    <w:basedOn w:val="Fuentedeprrafopredeter"/>
    <w:link w:val="Ttulo9"/>
    <w:rsid w:val="00DE119B"/>
    <w:rPr>
      <w:rFonts w:ascii="Verdana" w:eastAsia="Times New Roman" w:hAnsi="Verdana" w:cs="Times New Roman"/>
      <w:b/>
      <w:bCs/>
      <w:color w:val="333399"/>
      <w:szCs w:val="24"/>
      <w:u w:val="single"/>
      <w:lang w:eastAsia="es-ES"/>
    </w:rPr>
  </w:style>
  <w:style w:type="paragraph" w:styleId="Sangradetextonormal">
    <w:name w:val="Body Text Indent"/>
    <w:basedOn w:val="Normal"/>
    <w:link w:val="SangradetextonormalCar"/>
    <w:rsid w:val="00DE119B"/>
    <w:pPr>
      <w:ind w:left="360"/>
    </w:pPr>
    <w:rPr>
      <w:b/>
      <w:bCs/>
      <w:sz w:val="20"/>
    </w:rPr>
  </w:style>
  <w:style w:type="character" w:customStyle="1" w:styleId="SangradetextonormalCar">
    <w:name w:val="Sangría de texto normal Car"/>
    <w:basedOn w:val="Fuentedeprrafopredeter"/>
    <w:link w:val="Sangradetextonormal"/>
    <w:rsid w:val="00DE119B"/>
    <w:rPr>
      <w:rFonts w:ascii="Verdana" w:eastAsia="Times New Roman" w:hAnsi="Verdana" w:cs="Times New Roman"/>
      <w:b/>
      <w:bCs/>
      <w:sz w:val="20"/>
      <w:szCs w:val="24"/>
      <w:lang w:eastAsia="es-ES"/>
    </w:rPr>
  </w:style>
  <w:style w:type="paragraph" w:styleId="Encabezado">
    <w:name w:val="header"/>
    <w:basedOn w:val="Normal"/>
    <w:link w:val="EncabezadoCar"/>
    <w:rsid w:val="00DE119B"/>
    <w:pPr>
      <w:tabs>
        <w:tab w:val="center" w:pos="4252"/>
        <w:tab w:val="right" w:pos="8504"/>
      </w:tabs>
    </w:pPr>
  </w:style>
  <w:style w:type="character" w:customStyle="1" w:styleId="EncabezadoCar">
    <w:name w:val="Encabezado Car"/>
    <w:basedOn w:val="Fuentedeprrafopredeter"/>
    <w:link w:val="Encabezado"/>
    <w:rsid w:val="00DE119B"/>
    <w:rPr>
      <w:rFonts w:ascii="Verdana" w:eastAsia="Times New Roman" w:hAnsi="Verdana" w:cs="Times New Roman"/>
      <w:szCs w:val="24"/>
      <w:lang w:eastAsia="es-ES"/>
    </w:rPr>
  </w:style>
  <w:style w:type="paragraph" w:styleId="Piedepgina">
    <w:name w:val="footer"/>
    <w:basedOn w:val="Normal"/>
    <w:link w:val="PiedepginaCar"/>
    <w:rsid w:val="00DE119B"/>
    <w:pPr>
      <w:tabs>
        <w:tab w:val="center" w:pos="4252"/>
        <w:tab w:val="right" w:pos="8504"/>
      </w:tabs>
    </w:pPr>
  </w:style>
  <w:style w:type="character" w:customStyle="1" w:styleId="PiedepginaCar">
    <w:name w:val="Pie de página Car"/>
    <w:basedOn w:val="Fuentedeprrafopredeter"/>
    <w:link w:val="Piedepgina"/>
    <w:rsid w:val="00DE119B"/>
    <w:rPr>
      <w:rFonts w:ascii="Verdana" w:eastAsia="Times New Roman" w:hAnsi="Verdana" w:cs="Times New Roman"/>
      <w:szCs w:val="24"/>
      <w:lang w:eastAsia="es-ES"/>
    </w:rPr>
  </w:style>
  <w:style w:type="character" w:styleId="Nmerodepgina">
    <w:name w:val="page number"/>
    <w:rsid w:val="00DE119B"/>
  </w:style>
  <w:style w:type="paragraph" w:styleId="Prrafodelista">
    <w:name w:val="List Paragraph"/>
    <w:basedOn w:val="Normal"/>
    <w:uiPriority w:val="34"/>
    <w:qFormat/>
    <w:rsid w:val="00DE119B"/>
    <w:pPr>
      <w:ind w:left="720"/>
      <w:contextualSpacing/>
    </w:pPr>
  </w:style>
  <w:style w:type="paragraph" w:styleId="Textodeglobo">
    <w:name w:val="Balloon Text"/>
    <w:basedOn w:val="Normal"/>
    <w:link w:val="TextodegloboCar"/>
    <w:uiPriority w:val="99"/>
    <w:semiHidden/>
    <w:unhideWhenUsed/>
    <w:rsid w:val="00B54855"/>
    <w:rPr>
      <w:rFonts w:ascii="Tahoma" w:hAnsi="Tahoma" w:cs="Tahoma"/>
      <w:sz w:val="16"/>
      <w:szCs w:val="16"/>
    </w:rPr>
  </w:style>
  <w:style w:type="character" w:customStyle="1" w:styleId="TextodegloboCar">
    <w:name w:val="Texto de globo Car"/>
    <w:basedOn w:val="Fuentedeprrafopredeter"/>
    <w:link w:val="Textodeglobo"/>
    <w:uiPriority w:val="99"/>
    <w:semiHidden/>
    <w:rsid w:val="00B54855"/>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117"/>
    <w:pPr>
      <w:spacing w:after="0" w:line="240" w:lineRule="auto"/>
    </w:pPr>
    <w:rPr>
      <w:rFonts w:ascii="Verdana" w:eastAsia="Times New Roman" w:hAnsi="Verdana" w:cs="Times New Roman"/>
      <w:szCs w:val="24"/>
      <w:lang w:eastAsia="es-ES"/>
    </w:rPr>
  </w:style>
  <w:style w:type="paragraph" w:styleId="Ttulo1">
    <w:name w:val="heading 1"/>
    <w:basedOn w:val="Normal"/>
    <w:next w:val="Normal"/>
    <w:link w:val="Ttulo1Car"/>
    <w:qFormat/>
    <w:rsid w:val="00DE119B"/>
    <w:pPr>
      <w:keepNext/>
      <w:jc w:val="center"/>
      <w:outlineLvl w:val="0"/>
    </w:pPr>
    <w:rPr>
      <w:b/>
      <w:bCs/>
    </w:rPr>
  </w:style>
  <w:style w:type="paragraph" w:styleId="Ttulo4">
    <w:name w:val="heading 4"/>
    <w:basedOn w:val="Normal"/>
    <w:next w:val="Normal"/>
    <w:link w:val="Ttulo4Car"/>
    <w:qFormat/>
    <w:rsid w:val="00DE119B"/>
    <w:pPr>
      <w:keepNext/>
      <w:ind w:left="-540" w:right="99"/>
      <w:jc w:val="center"/>
      <w:outlineLvl w:val="3"/>
    </w:pPr>
    <w:rPr>
      <w:b/>
      <w:bCs/>
    </w:rPr>
  </w:style>
  <w:style w:type="paragraph" w:styleId="Ttulo9">
    <w:name w:val="heading 9"/>
    <w:basedOn w:val="Normal"/>
    <w:next w:val="Normal"/>
    <w:link w:val="Ttulo9Car"/>
    <w:qFormat/>
    <w:rsid w:val="00DE119B"/>
    <w:pPr>
      <w:keepNext/>
      <w:outlineLvl w:val="8"/>
    </w:pPr>
    <w:rPr>
      <w:b/>
      <w:bCs/>
      <w:color w:val="333399"/>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119B"/>
    <w:rPr>
      <w:rFonts w:ascii="Verdana" w:eastAsia="Times New Roman" w:hAnsi="Verdana" w:cs="Times New Roman"/>
      <w:b/>
      <w:bCs/>
      <w:szCs w:val="24"/>
      <w:lang w:eastAsia="es-ES"/>
    </w:rPr>
  </w:style>
  <w:style w:type="character" w:customStyle="1" w:styleId="Ttulo4Car">
    <w:name w:val="Título 4 Car"/>
    <w:basedOn w:val="Fuentedeprrafopredeter"/>
    <w:link w:val="Ttulo4"/>
    <w:rsid w:val="00DE119B"/>
    <w:rPr>
      <w:rFonts w:ascii="Verdana" w:eastAsia="Times New Roman" w:hAnsi="Verdana" w:cs="Times New Roman"/>
      <w:b/>
      <w:bCs/>
      <w:szCs w:val="24"/>
      <w:lang w:eastAsia="es-ES"/>
    </w:rPr>
  </w:style>
  <w:style w:type="character" w:customStyle="1" w:styleId="Ttulo9Car">
    <w:name w:val="Título 9 Car"/>
    <w:basedOn w:val="Fuentedeprrafopredeter"/>
    <w:link w:val="Ttulo9"/>
    <w:rsid w:val="00DE119B"/>
    <w:rPr>
      <w:rFonts w:ascii="Verdana" w:eastAsia="Times New Roman" w:hAnsi="Verdana" w:cs="Times New Roman"/>
      <w:b/>
      <w:bCs/>
      <w:color w:val="333399"/>
      <w:szCs w:val="24"/>
      <w:u w:val="single"/>
      <w:lang w:eastAsia="es-ES"/>
    </w:rPr>
  </w:style>
  <w:style w:type="paragraph" w:styleId="Sangradetextonormal">
    <w:name w:val="Body Text Indent"/>
    <w:basedOn w:val="Normal"/>
    <w:link w:val="SangradetextonormalCar"/>
    <w:rsid w:val="00DE119B"/>
    <w:pPr>
      <w:ind w:left="360"/>
    </w:pPr>
    <w:rPr>
      <w:b/>
      <w:bCs/>
      <w:sz w:val="20"/>
    </w:rPr>
  </w:style>
  <w:style w:type="character" w:customStyle="1" w:styleId="SangradetextonormalCar">
    <w:name w:val="Sangría de texto normal Car"/>
    <w:basedOn w:val="Fuentedeprrafopredeter"/>
    <w:link w:val="Sangradetextonormal"/>
    <w:rsid w:val="00DE119B"/>
    <w:rPr>
      <w:rFonts w:ascii="Verdana" w:eastAsia="Times New Roman" w:hAnsi="Verdana" w:cs="Times New Roman"/>
      <w:b/>
      <w:bCs/>
      <w:sz w:val="20"/>
      <w:szCs w:val="24"/>
      <w:lang w:eastAsia="es-ES"/>
    </w:rPr>
  </w:style>
  <w:style w:type="paragraph" w:styleId="Encabezado">
    <w:name w:val="header"/>
    <w:basedOn w:val="Normal"/>
    <w:link w:val="EncabezadoCar"/>
    <w:rsid w:val="00DE119B"/>
    <w:pPr>
      <w:tabs>
        <w:tab w:val="center" w:pos="4252"/>
        <w:tab w:val="right" w:pos="8504"/>
      </w:tabs>
    </w:pPr>
  </w:style>
  <w:style w:type="character" w:customStyle="1" w:styleId="EncabezadoCar">
    <w:name w:val="Encabezado Car"/>
    <w:basedOn w:val="Fuentedeprrafopredeter"/>
    <w:link w:val="Encabezado"/>
    <w:rsid w:val="00DE119B"/>
    <w:rPr>
      <w:rFonts w:ascii="Verdana" w:eastAsia="Times New Roman" w:hAnsi="Verdana" w:cs="Times New Roman"/>
      <w:szCs w:val="24"/>
      <w:lang w:eastAsia="es-ES"/>
    </w:rPr>
  </w:style>
  <w:style w:type="paragraph" w:styleId="Piedepgina">
    <w:name w:val="footer"/>
    <w:basedOn w:val="Normal"/>
    <w:link w:val="PiedepginaCar"/>
    <w:rsid w:val="00DE119B"/>
    <w:pPr>
      <w:tabs>
        <w:tab w:val="center" w:pos="4252"/>
        <w:tab w:val="right" w:pos="8504"/>
      </w:tabs>
    </w:pPr>
  </w:style>
  <w:style w:type="character" w:customStyle="1" w:styleId="PiedepginaCar">
    <w:name w:val="Pie de página Car"/>
    <w:basedOn w:val="Fuentedeprrafopredeter"/>
    <w:link w:val="Piedepgina"/>
    <w:rsid w:val="00DE119B"/>
    <w:rPr>
      <w:rFonts w:ascii="Verdana" w:eastAsia="Times New Roman" w:hAnsi="Verdana" w:cs="Times New Roman"/>
      <w:szCs w:val="24"/>
      <w:lang w:eastAsia="es-ES"/>
    </w:rPr>
  </w:style>
  <w:style w:type="character" w:styleId="Nmerodepgina">
    <w:name w:val="page number"/>
    <w:rsid w:val="00DE119B"/>
  </w:style>
  <w:style w:type="paragraph" w:styleId="Prrafodelista">
    <w:name w:val="List Paragraph"/>
    <w:basedOn w:val="Normal"/>
    <w:uiPriority w:val="34"/>
    <w:qFormat/>
    <w:rsid w:val="00DE119B"/>
    <w:pPr>
      <w:ind w:left="720"/>
      <w:contextualSpacing/>
    </w:pPr>
  </w:style>
  <w:style w:type="paragraph" w:styleId="Textodeglobo">
    <w:name w:val="Balloon Text"/>
    <w:basedOn w:val="Normal"/>
    <w:link w:val="TextodegloboCar"/>
    <w:uiPriority w:val="99"/>
    <w:semiHidden/>
    <w:unhideWhenUsed/>
    <w:rsid w:val="00B54855"/>
    <w:rPr>
      <w:rFonts w:ascii="Tahoma" w:hAnsi="Tahoma" w:cs="Tahoma"/>
      <w:sz w:val="16"/>
      <w:szCs w:val="16"/>
    </w:rPr>
  </w:style>
  <w:style w:type="character" w:customStyle="1" w:styleId="TextodegloboCar">
    <w:name w:val="Texto de globo Car"/>
    <w:basedOn w:val="Fuentedeprrafopredeter"/>
    <w:link w:val="Textodeglobo"/>
    <w:uiPriority w:val="99"/>
    <w:semiHidden/>
    <w:rsid w:val="00B54855"/>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70747">
      <w:bodyDiv w:val="1"/>
      <w:marLeft w:val="0"/>
      <w:marRight w:val="0"/>
      <w:marTop w:val="0"/>
      <w:marBottom w:val="0"/>
      <w:divBdr>
        <w:top w:val="none" w:sz="0" w:space="0" w:color="auto"/>
        <w:left w:val="none" w:sz="0" w:space="0" w:color="auto"/>
        <w:bottom w:val="none" w:sz="0" w:space="0" w:color="auto"/>
        <w:right w:val="none" w:sz="0" w:space="0" w:color="auto"/>
      </w:divBdr>
    </w:div>
    <w:div w:id="180125444">
      <w:bodyDiv w:val="1"/>
      <w:marLeft w:val="0"/>
      <w:marRight w:val="0"/>
      <w:marTop w:val="0"/>
      <w:marBottom w:val="0"/>
      <w:divBdr>
        <w:top w:val="none" w:sz="0" w:space="0" w:color="auto"/>
        <w:left w:val="none" w:sz="0" w:space="0" w:color="auto"/>
        <w:bottom w:val="none" w:sz="0" w:space="0" w:color="auto"/>
        <w:right w:val="none" w:sz="0" w:space="0" w:color="auto"/>
      </w:divBdr>
    </w:div>
    <w:div w:id="225266177">
      <w:bodyDiv w:val="1"/>
      <w:marLeft w:val="0"/>
      <w:marRight w:val="0"/>
      <w:marTop w:val="0"/>
      <w:marBottom w:val="0"/>
      <w:divBdr>
        <w:top w:val="none" w:sz="0" w:space="0" w:color="auto"/>
        <w:left w:val="none" w:sz="0" w:space="0" w:color="auto"/>
        <w:bottom w:val="none" w:sz="0" w:space="0" w:color="auto"/>
        <w:right w:val="none" w:sz="0" w:space="0" w:color="auto"/>
      </w:divBdr>
    </w:div>
    <w:div w:id="1156528404">
      <w:bodyDiv w:val="1"/>
      <w:marLeft w:val="0"/>
      <w:marRight w:val="0"/>
      <w:marTop w:val="0"/>
      <w:marBottom w:val="0"/>
      <w:divBdr>
        <w:top w:val="none" w:sz="0" w:space="0" w:color="auto"/>
        <w:left w:val="none" w:sz="0" w:space="0" w:color="auto"/>
        <w:bottom w:val="none" w:sz="0" w:space="0" w:color="auto"/>
        <w:right w:val="none" w:sz="0" w:space="0" w:color="auto"/>
      </w:divBdr>
    </w:div>
    <w:div w:id="1210068463">
      <w:bodyDiv w:val="1"/>
      <w:marLeft w:val="0"/>
      <w:marRight w:val="0"/>
      <w:marTop w:val="0"/>
      <w:marBottom w:val="0"/>
      <w:divBdr>
        <w:top w:val="none" w:sz="0" w:space="0" w:color="auto"/>
        <w:left w:val="none" w:sz="0" w:space="0" w:color="auto"/>
        <w:bottom w:val="none" w:sz="0" w:space="0" w:color="auto"/>
        <w:right w:val="none" w:sz="0" w:space="0" w:color="auto"/>
      </w:divBdr>
    </w:div>
    <w:div w:id="1640766501">
      <w:bodyDiv w:val="1"/>
      <w:marLeft w:val="0"/>
      <w:marRight w:val="0"/>
      <w:marTop w:val="0"/>
      <w:marBottom w:val="0"/>
      <w:divBdr>
        <w:top w:val="none" w:sz="0" w:space="0" w:color="auto"/>
        <w:left w:val="none" w:sz="0" w:space="0" w:color="auto"/>
        <w:bottom w:val="none" w:sz="0" w:space="0" w:color="auto"/>
        <w:right w:val="none" w:sz="0" w:space="0" w:color="auto"/>
      </w:divBdr>
    </w:div>
    <w:div w:id="184335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3</Pages>
  <Words>1615</Words>
  <Characters>8888</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agett_06</dc:creator>
  <cp:keywords/>
  <dc:description/>
  <cp:lastModifiedBy>agett_06</cp:lastModifiedBy>
  <cp:revision>40</cp:revision>
  <cp:lastPrinted>2011-11-10T16:05:00Z</cp:lastPrinted>
  <dcterms:created xsi:type="dcterms:W3CDTF">2011-11-10T10:11:00Z</dcterms:created>
  <dcterms:modified xsi:type="dcterms:W3CDTF">2011-11-10T16:33:00Z</dcterms:modified>
</cp:coreProperties>
</file>