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77" w:rsidRPr="00662377" w:rsidRDefault="00662377" w:rsidP="00662377">
      <w:pPr>
        <w:pStyle w:val="Ttulo4"/>
        <w:tabs>
          <w:tab w:val="left" w:pos="8820"/>
        </w:tabs>
        <w:spacing w:line="360" w:lineRule="auto"/>
        <w:ind w:left="0"/>
        <w:rPr>
          <w:sz w:val="16"/>
          <w:szCs w:val="16"/>
          <w:u w:val="single"/>
        </w:rPr>
      </w:pPr>
      <w:r w:rsidRPr="00662377">
        <w:rPr>
          <w:sz w:val="16"/>
          <w:szCs w:val="16"/>
          <w:u w:val="single"/>
        </w:rPr>
        <w:t>NOTA DE PRENSA</w:t>
      </w:r>
    </w:p>
    <w:p w:rsidR="00662377" w:rsidRPr="00F44B2E" w:rsidRDefault="00662377" w:rsidP="00662377">
      <w:pPr>
        <w:pStyle w:val="Ttulo1"/>
        <w:ind w:right="96"/>
        <w:rPr>
          <w:b w:val="0"/>
          <w:sz w:val="16"/>
          <w:szCs w:val="16"/>
        </w:rPr>
      </w:pPr>
      <w:r w:rsidRPr="00F44B2E">
        <w:rPr>
          <w:b w:val="0"/>
          <w:sz w:val="16"/>
          <w:szCs w:val="16"/>
        </w:rPr>
        <w:t>“AVANCE DEL MERCADO LABORAL Afi-AGETT”</w:t>
      </w:r>
    </w:p>
    <w:p w:rsidR="00662377" w:rsidRPr="00F44B2E" w:rsidRDefault="00662377" w:rsidP="00662377">
      <w:pPr>
        <w:pStyle w:val="Ttulo1"/>
        <w:ind w:right="96"/>
        <w:rPr>
          <w:b w:val="0"/>
          <w:sz w:val="16"/>
          <w:szCs w:val="16"/>
        </w:rPr>
      </w:pPr>
      <w:r>
        <w:rPr>
          <w:b w:val="0"/>
          <w:sz w:val="16"/>
          <w:szCs w:val="16"/>
        </w:rPr>
        <w:t>SEPTIEMBRE</w:t>
      </w:r>
      <w:r w:rsidRPr="00F44B2E">
        <w:rPr>
          <w:b w:val="0"/>
          <w:sz w:val="16"/>
          <w:szCs w:val="16"/>
        </w:rPr>
        <w:t xml:space="preserve"> 2011</w:t>
      </w:r>
    </w:p>
    <w:p w:rsidR="00F67090" w:rsidRDefault="00F67090" w:rsidP="00662377">
      <w:pPr>
        <w:rPr>
          <w:color w:val="FF0000"/>
          <w:sz w:val="12"/>
        </w:rPr>
      </w:pPr>
    </w:p>
    <w:p w:rsidR="00F67090" w:rsidRPr="00F67090" w:rsidRDefault="00F67090" w:rsidP="00F67090">
      <w:pPr>
        <w:jc w:val="center"/>
        <w:rPr>
          <w:b/>
          <w:color w:val="0000FF"/>
          <w:sz w:val="20"/>
          <w:szCs w:val="20"/>
          <w:u w:val="single"/>
        </w:rPr>
      </w:pPr>
      <w:r w:rsidRPr="00F67090">
        <w:rPr>
          <w:b/>
          <w:color w:val="0000FF"/>
          <w:sz w:val="20"/>
          <w:szCs w:val="20"/>
          <w:u w:val="single"/>
        </w:rPr>
        <w:t xml:space="preserve">LAS CCAA CON MAYORES NIVELES DE DÉFICIT PÚBLICO </w:t>
      </w:r>
      <w:r w:rsidR="00FB5BC8">
        <w:rPr>
          <w:b/>
          <w:color w:val="0000FF"/>
          <w:sz w:val="20"/>
          <w:szCs w:val="20"/>
          <w:u w:val="single"/>
        </w:rPr>
        <w:t xml:space="preserve">APLICARÁN, PREVISIBLEMENTE, MAYORES RECORTES CON </w:t>
      </w:r>
      <w:r w:rsidR="006C349B">
        <w:rPr>
          <w:b/>
          <w:color w:val="0000FF"/>
          <w:sz w:val="20"/>
          <w:szCs w:val="20"/>
          <w:u w:val="single"/>
        </w:rPr>
        <w:t>EL CONSIGUIENTE IMPACTO PARA SU</w:t>
      </w:r>
      <w:bookmarkStart w:id="0" w:name="_GoBack"/>
      <w:bookmarkEnd w:id="0"/>
      <w:r w:rsidR="00FB5BC8">
        <w:rPr>
          <w:b/>
          <w:color w:val="0000FF"/>
          <w:sz w:val="20"/>
          <w:szCs w:val="20"/>
          <w:u w:val="single"/>
        </w:rPr>
        <w:t xml:space="preserve"> ECONOMÍA</w:t>
      </w:r>
    </w:p>
    <w:p w:rsidR="00662377" w:rsidRDefault="00A55663" w:rsidP="00662377">
      <w:pPr>
        <w:rPr>
          <w:color w:val="FF0000"/>
          <w:sz w:val="12"/>
        </w:rPr>
      </w:pPr>
      <w:r w:rsidRPr="00662377">
        <w:rPr>
          <w:noProof/>
          <w:color w:val="FF0000"/>
        </w:rPr>
        <mc:AlternateContent>
          <mc:Choice Requires="wps">
            <w:drawing>
              <wp:anchor distT="0" distB="0" distL="114300" distR="114300" simplePos="0" relativeHeight="251659264" behindDoc="0" locked="0" layoutInCell="1" allowOverlap="1" wp14:anchorId="1560C858" wp14:editId="3CF2829A">
                <wp:simplePos x="0" y="0"/>
                <wp:positionH relativeFrom="column">
                  <wp:posOffset>-13335</wp:posOffset>
                </wp:positionH>
                <wp:positionV relativeFrom="paragraph">
                  <wp:posOffset>116840</wp:posOffset>
                </wp:positionV>
                <wp:extent cx="5562600" cy="3714750"/>
                <wp:effectExtent l="0" t="0" r="19050" b="19050"/>
                <wp:wrapSquare wrapText="bothSides"/>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3714750"/>
                        </a:xfrm>
                        <a:prstGeom prst="rect">
                          <a:avLst/>
                        </a:prstGeom>
                        <a:solidFill>
                          <a:srgbClr val="F8F8F8"/>
                        </a:solidFill>
                        <a:ln w="9525" cap="rnd">
                          <a:solidFill>
                            <a:srgbClr val="C0C0C0"/>
                          </a:solidFill>
                          <a:prstDash val="sysDot"/>
                          <a:miter lim="800000"/>
                          <a:headEnd/>
                          <a:tailEnd/>
                        </a:ln>
                      </wps:spPr>
                      <wps:txbx>
                        <w:txbxContent>
                          <w:p w:rsidR="009274E7" w:rsidRPr="003A70E7" w:rsidRDefault="009274E7" w:rsidP="00662377">
                            <w:pPr>
                              <w:pStyle w:val="Sangradetextonormal"/>
                              <w:ind w:left="0"/>
                              <w:jc w:val="both"/>
                              <w:rPr>
                                <w:b w:val="0"/>
                                <w:bCs w:val="0"/>
                                <w:sz w:val="2"/>
                                <w:szCs w:val="2"/>
                              </w:rPr>
                            </w:pPr>
                          </w:p>
                          <w:p w:rsidR="009274E7" w:rsidRPr="001B6DD8" w:rsidRDefault="009274E7" w:rsidP="00662377">
                            <w:pPr>
                              <w:pStyle w:val="Sangradetextonormal"/>
                              <w:numPr>
                                <w:ilvl w:val="0"/>
                                <w:numId w:val="1"/>
                              </w:numPr>
                              <w:jc w:val="both"/>
                              <w:rPr>
                                <w:b w:val="0"/>
                                <w:bCs w:val="0"/>
                                <w:sz w:val="19"/>
                                <w:szCs w:val="19"/>
                              </w:rPr>
                            </w:pPr>
                            <w:r w:rsidRPr="001B6DD8">
                              <w:rPr>
                                <w:b w:val="0"/>
                                <w:bCs w:val="0"/>
                                <w:sz w:val="19"/>
                                <w:szCs w:val="19"/>
                              </w:rPr>
                              <w:t xml:space="preserve">El indicador AML Afi-AGETT prevé una caída de la ocupación del -1,2% en </w:t>
                            </w:r>
                            <w:r>
                              <w:rPr>
                                <w:b w:val="0"/>
                                <w:bCs w:val="0"/>
                                <w:sz w:val="19"/>
                                <w:szCs w:val="19"/>
                              </w:rPr>
                              <w:t>noviembre</w:t>
                            </w:r>
                            <w:r w:rsidRPr="001B6DD8">
                              <w:rPr>
                                <w:b w:val="0"/>
                                <w:bCs w:val="0"/>
                                <w:sz w:val="19"/>
                                <w:szCs w:val="19"/>
                              </w:rPr>
                              <w:t xml:space="preserve"> con un </w:t>
                            </w:r>
                            <w:r w:rsidRPr="00713874">
                              <w:rPr>
                                <w:b w:val="0"/>
                                <w:bCs w:val="0"/>
                                <w:sz w:val="19"/>
                                <w:szCs w:val="19"/>
                              </w:rPr>
                              <w:t xml:space="preserve">total de </w:t>
                            </w:r>
                            <w:r w:rsidR="00713874" w:rsidRPr="00713874">
                              <w:rPr>
                                <w:b w:val="0"/>
                                <w:bCs w:val="0"/>
                                <w:sz w:val="19"/>
                                <w:szCs w:val="19"/>
                              </w:rPr>
                              <w:t>18,20</w:t>
                            </w:r>
                            <w:r w:rsidRPr="00713874">
                              <w:rPr>
                                <w:b w:val="0"/>
                                <w:bCs w:val="0"/>
                                <w:sz w:val="19"/>
                                <w:szCs w:val="19"/>
                              </w:rPr>
                              <w:t xml:space="preserve"> millones </w:t>
                            </w:r>
                            <w:r w:rsidRPr="001B6DD8">
                              <w:rPr>
                                <w:b w:val="0"/>
                                <w:bCs w:val="0"/>
                                <w:sz w:val="19"/>
                                <w:szCs w:val="19"/>
                              </w:rPr>
                              <w:t xml:space="preserve">de ocupados </w:t>
                            </w:r>
                          </w:p>
                          <w:p w:rsidR="009274E7" w:rsidRPr="00F44B2E" w:rsidRDefault="009274E7" w:rsidP="00662377">
                            <w:pPr>
                              <w:pStyle w:val="Prrafodelista"/>
                              <w:rPr>
                                <w:b/>
                                <w:bCs/>
                                <w:sz w:val="11"/>
                                <w:szCs w:val="11"/>
                              </w:rPr>
                            </w:pPr>
                          </w:p>
                          <w:p w:rsidR="009274E7" w:rsidRDefault="009274E7" w:rsidP="00662377">
                            <w:pPr>
                              <w:pStyle w:val="Sangradetextonormal"/>
                              <w:numPr>
                                <w:ilvl w:val="0"/>
                                <w:numId w:val="1"/>
                              </w:numPr>
                              <w:jc w:val="both"/>
                              <w:rPr>
                                <w:b w:val="0"/>
                                <w:bCs w:val="0"/>
                                <w:sz w:val="19"/>
                                <w:szCs w:val="19"/>
                              </w:rPr>
                            </w:pPr>
                            <w:r w:rsidRPr="00E62856">
                              <w:rPr>
                                <w:b w:val="0"/>
                                <w:bCs w:val="0"/>
                                <w:sz w:val="19"/>
                                <w:szCs w:val="19"/>
                              </w:rPr>
                              <w:t>Los negativos registros de empleo, las perspectivas macroeconómicas y los anunciados recortes en las AAPP marcarán un negativo devenir en términos de empleo</w:t>
                            </w:r>
                          </w:p>
                          <w:p w:rsidR="009274E7" w:rsidRPr="00B74AAA" w:rsidRDefault="009274E7" w:rsidP="00B954C5">
                            <w:pPr>
                              <w:pStyle w:val="Sangradetextonormal"/>
                              <w:ind w:left="0"/>
                              <w:jc w:val="both"/>
                              <w:rPr>
                                <w:b w:val="0"/>
                                <w:bCs w:val="0"/>
                                <w:sz w:val="10"/>
                                <w:szCs w:val="10"/>
                              </w:rPr>
                            </w:pPr>
                          </w:p>
                          <w:p w:rsidR="00B74AAA" w:rsidRDefault="009274E7" w:rsidP="00B74AAA">
                            <w:pPr>
                              <w:pStyle w:val="Sangradetextonormal"/>
                              <w:numPr>
                                <w:ilvl w:val="0"/>
                                <w:numId w:val="1"/>
                              </w:numPr>
                              <w:jc w:val="both"/>
                              <w:rPr>
                                <w:b w:val="0"/>
                                <w:bCs w:val="0"/>
                                <w:sz w:val="19"/>
                                <w:szCs w:val="19"/>
                              </w:rPr>
                            </w:pPr>
                            <w:r>
                              <w:rPr>
                                <w:b w:val="0"/>
                                <w:bCs w:val="0"/>
                                <w:sz w:val="19"/>
                                <w:szCs w:val="19"/>
                              </w:rPr>
                              <w:t>En el ITR11 las</w:t>
                            </w:r>
                            <w:r w:rsidRPr="00ED7A2E">
                              <w:rPr>
                                <w:b w:val="0"/>
                                <w:bCs w:val="0"/>
                                <w:sz w:val="19"/>
                                <w:szCs w:val="19"/>
                              </w:rPr>
                              <w:t xml:space="preserve"> CC.AA ya habían registrado en conjunto un déficit del 0,46% del PIB, una tercera parte del marcado como objetivo para el conjunto del año, 1,3% del PIB</w:t>
                            </w:r>
                          </w:p>
                          <w:p w:rsidR="00B74AAA" w:rsidRPr="00B74AAA" w:rsidRDefault="00B74AAA" w:rsidP="00B74AAA">
                            <w:pPr>
                              <w:pStyle w:val="Prrafodelista"/>
                              <w:rPr>
                                <w:sz w:val="10"/>
                                <w:szCs w:val="10"/>
                              </w:rPr>
                            </w:pPr>
                          </w:p>
                          <w:p w:rsidR="009274E7" w:rsidRDefault="009274E7" w:rsidP="00B74AAA">
                            <w:pPr>
                              <w:pStyle w:val="Sangradetextonormal"/>
                              <w:numPr>
                                <w:ilvl w:val="0"/>
                                <w:numId w:val="1"/>
                              </w:numPr>
                              <w:jc w:val="both"/>
                              <w:rPr>
                                <w:b w:val="0"/>
                                <w:bCs w:val="0"/>
                                <w:sz w:val="19"/>
                                <w:szCs w:val="19"/>
                              </w:rPr>
                            </w:pPr>
                            <w:r w:rsidRPr="00B74AAA">
                              <w:rPr>
                                <w:b w:val="0"/>
                                <w:bCs w:val="0"/>
                                <w:sz w:val="19"/>
                                <w:szCs w:val="19"/>
                              </w:rPr>
                              <w:t xml:space="preserve">La deuda pública española es del 63,6% del PIB en el ITR11, </w:t>
                            </w:r>
                            <w:r w:rsidR="00B74AAA" w:rsidRPr="00B74AAA">
                              <w:rPr>
                                <w:b w:val="0"/>
                                <w:bCs w:val="0"/>
                                <w:sz w:val="19"/>
                                <w:szCs w:val="19"/>
                              </w:rPr>
                              <w:t xml:space="preserve">repartido de la siguiente manera: Administración Central, con un volumen de deuda equivalente al 48,7% del PIB, el 11,4% de las Comunidades Autónomas y el 3,5% para las  Corporaciones Locales </w:t>
                            </w:r>
                          </w:p>
                          <w:p w:rsidR="00B74AAA" w:rsidRPr="00A55663" w:rsidRDefault="00B74AAA" w:rsidP="00B74AAA">
                            <w:pPr>
                              <w:pStyle w:val="Prrafodelista"/>
                              <w:rPr>
                                <w:b/>
                                <w:bCs/>
                                <w:sz w:val="10"/>
                                <w:szCs w:val="10"/>
                              </w:rPr>
                            </w:pPr>
                          </w:p>
                          <w:p w:rsidR="00B954C5" w:rsidRDefault="00B954C5" w:rsidP="00B954C5">
                            <w:pPr>
                              <w:pStyle w:val="Sangradetextonormal"/>
                              <w:numPr>
                                <w:ilvl w:val="0"/>
                                <w:numId w:val="1"/>
                              </w:numPr>
                              <w:jc w:val="both"/>
                              <w:rPr>
                                <w:b w:val="0"/>
                                <w:bCs w:val="0"/>
                                <w:sz w:val="19"/>
                                <w:szCs w:val="19"/>
                              </w:rPr>
                            </w:pPr>
                            <w:r>
                              <w:rPr>
                                <w:b w:val="0"/>
                                <w:bCs w:val="0"/>
                                <w:sz w:val="19"/>
                                <w:szCs w:val="19"/>
                              </w:rPr>
                              <w:t>Las actuaciones de reducción en el gasto para cumplir con los objetivos de déficit tendrán efectos directos sobre el mercado de trabajo</w:t>
                            </w:r>
                          </w:p>
                          <w:p w:rsidR="00B954C5" w:rsidRPr="00A55663" w:rsidRDefault="00B954C5" w:rsidP="00B954C5">
                            <w:pPr>
                              <w:pStyle w:val="Prrafodelista"/>
                              <w:rPr>
                                <w:b/>
                                <w:bCs/>
                                <w:sz w:val="10"/>
                                <w:szCs w:val="10"/>
                              </w:rPr>
                            </w:pPr>
                          </w:p>
                          <w:p w:rsidR="00A55663" w:rsidRDefault="00A55663" w:rsidP="00B954C5">
                            <w:pPr>
                              <w:pStyle w:val="Sangradetextonormal"/>
                              <w:numPr>
                                <w:ilvl w:val="0"/>
                                <w:numId w:val="1"/>
                              </w:numPr>
                              <w:jc w:val="both"/>
                              <w:rPr>
                                <w:b w:val="0"/>
                                <w:bCs w:val="0"/>
                                <w:sz w:val="19"/>
                                <w:szCs w:val="19"/>
                              </w:rPr>
                            </w:pPr>
                            <w:r>
                              <w:rPr>
                                <w:b w:val="0"/>
                                <w:bCs w:val="0"/>
                                <w:sz w:val="19"/>
                                <w:szCs w:val="19"/>
                              </w:rPr>
                              <w:t>L</w:t>
                            </w:r>
                            <w:r w:rsidRPr="00A55663">
                              <w:rPr>
                                <w:b w:val="0"/>
                                <w:bCs w:val="0"/>
                                <w:sz w:val="19"/>
                                <w:szCs w:val="19"/>
                              </w:rPr>
                              <w:t xml:space="preserve">as comunidades que </w:t>
                            </w:r>
                            <w:r w:rsidR="009A0A81">
                              <w:rPr>
                                <w:b w:val="0"/>
                                <w:bCs w:val="0"/>
                                <w:sz w:val="19"/>
                                <w:szCs w:val="19"/>
                              </w:rPr>
                              <w:t>registraron al cierre de 2010</w:t>
                            </w:r>
                            <w:r w:rsidRPr="00A55663">
                              <w:rPr>
                                <w:b w:val="0"/>
                                <w:bCs w:val="0"/>
                                <w:sz w:val="19"/>
                                <w:szCs w:val="19"/>
                              </w:rPr>
                              <w:t xml:space="preserve"> un</w:t>
                            </w:r>
                            <w:r>
                              <w:rPr>
                                <w:b w:val="0"/>
                                <w:bCs w:val="0"/>
                                <w:sz w:val="19"/>
                                <w:szCs w:val="19"/>
                              </w:rPr>
                              <w:t xml:space="preserve"> mayor déficit fueron Castilla </w:t>
                            </w:r>
                            <w:r w:rsidRPr="00A55663">
                              <w:rPr>
                                <w:b w:val="0"/>
                                <w:bCs w:val="0"/>
                                <w:sz w:val="19"/>
                                <w:szCs w:val="19"/>
                              </w:rPr>
                              <w:t>La Mancha (6,22% del PIB), Murcia (4,95%) e Islas Baleares (4,16%).</w:t>
                            </w:r>
                          </w:p>
                          <w:p w:rsidR="00A55663" w:rsidRPr="00A55663" w:rsidRDefault="00A55663" w:rsidP="00A55663">
                            <w:pPr>
                              <w:pStyle w:val="Prrafodelista"/>
                              <w:rPr>
                                <w:b/>
                                <w:bCs/>
                                <w:sz w:val="10"/>
                                <w:szCs w:val="10"/>
                              </w:rPr>
                            </w:pPr>
                          </w:p>
                          <w:p w:rsidR="00A55663" w:rsidRDefault="00A55663" w:rsidP="00B954C5">
                            <w:pPr>
                              <w:pStyle w:val="Sangradetextonormal"/>
                              <w:numPr>
                                <w:ilvl w:val="0"/>
                                <w:numId w:val="1"/>
                              </w:numPr>
                              <w:jc w:val="both"/>
                              <w:rPr>
                                <w:b w:val="0"/>
                                <w:bCs w:val="0"/>
                                <w:sz w:val="19"/>
                                <w:szCs w:val="19"/>
                              </w:rPr>
                            </w:pPr>
                            <w:r w:rsidRPr="00A55663">
                              <w:rPr>
                                <w:b w:val="0"/>
                                <w:bCs w:val="0"/>
                                <w:sz w:val="19"/>
                                <w:szCs w:val="19"/>
                              </w:rPr>
                              <w:t>Las comunidades con mayor deuda pública respecto a su PIB regional a marzo de 2011 son Comunidad Valenciana (17,4%), Castilla – La Mancha (16,9%) y Cataluña (17,2%)</w:t>
                            </w:r>
                          </w:p>
                          <w:p w:rsidR="00B74AAA" w:rsidRPr="00A55663" w:rsidRDefault="00B74AAA" w:rsidP="00B954C5">
                            <w:pPr>
                              <w:pStyle w:val="Sangradetextonormal"/>
                              <w:ind w:left="0"/>
                              <w:jc w:val="both"/>
                              <w:rPr>
                                <w:b w:val="0"/>
                                <w:bCs w:val="0"/>
                                <w:sz w:val="10"/>
                                <w:szCs w:val="10"/>
                              </w:rPr>
                            </w:pPr>
                          </w:p>
                          <w:p w:rsidR="00B954C5" w:rsidRPr="00B74AAA" w:rsidRDefault="00B954C5" w:rsidP="00B954C5">
                            <w:pPr>
                              <w:pStyle w:val="Sangradetextonormal"/>
                              <w:ind w:left="0"/>
                              <w:jc w:val="both"/>
                              <w:rPr>
                                <w:b w:val="0"/>
                                <w:bCs w:val="0"/>
                                <w:sz w:val="19"/>
                                <w:szCs w:val="19"/>
                              </w:rPr>
                            </w:pPr>
                          </w:p>
                          <w:p w:rsidR="009274E7" w:rsidRPr="00E62856" w:rsidRDefault="009274E7" w:rsidP="00E62856">
                            <w:pPr>
                              <w:pStyle w:val="Sangradetextonormal"/>
                              <w:jc w:val="both"/>
                              <w:rPr>
                                <w:sz w:val="11"/>
                                <w:szCs w:val="11"/>
                              </w:rPr>
                            </w:pPr>
                          </w:p>
                          <w:p w:rsidR="009274E7" w:rsidRPr="004F6D41" w:rsidRDefault="009274E7" w:rsidP="00662377">
                            <w:pPr>
                              <w:pStyle w:val="Sangradetextonormal"/>
                              <w:jc w:val="both"/>
                              <w:rPr>
                                <w:b w:val="0"/>
                                <w:bC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05pt;margin-top:9.2pt;width:438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" fillcolor="#f8f8f8" strokecolor="silver">
                <v:stroke dashstyle="1 1" endcap="round"/>
                <v:textbox>
                  <w:txbxContent>
                    <w:p w:rsidR="009274E7" w:rsidRPr="003A70E7" w:rsidRDefault="009274E7" w:rsidP="00662377">
                      <w:pPr>
                        <w:pStyle w:val="Sangradetextonormal"/>
                        <w:ind w:left="0"/>
                        <w:jc w:val="both"/>
                        <w:rPr>
                          <w:b w:val="0"/>
                          <w:bCs w:val="0"/>
                          <w:sz w:val="2"/>
                          <w:szCs w:val="2"/>
                        </w:rPr>
                      </w:pPr>
                    </w:p>
                    <w:p w:rsidR="009274E7" w:rsidRPr="001B6DD8" w:rsidRDefault="009274E7" w:rsidP="00662377">
                      <w:pPr>
                        <w:pStyle w:val="Sangradetextonormal"/>
                        <w:numPr>
                          <w:ilvl w:val="0"/>
                          <w:numId w:val="1"/>
                        </w:numPr>
                        <w:jc w:val="both"/>
                        <w:rPr>
                          <w:b w:val="0"/>
                          <w:bCs w:val="0"/>
                          <w:sz w:val="19"/>
                          <w:szCs w:val="19"/>
                        </w:rPr>
                      </w:pPr>
                      <w:r w:rsidRPr="001B6DD8">
                        <w:rPr>
                          <w:b w:val="0"/>
                          <w:bCs w:val="0"/>
                          <w:sz w:val="19"/>
                          <w:szCs w:val="19"/>
                        </w:rPr>
                        <w:t xml:space="preserve">El indicador AML </w:t>
                      </w:r>
                      <w:proofErr w:type="spellStart"/>
                      <w:r w:rsidRPr="001B6DD8">
                        <w:rPr>
                          <w:b w:val="0"/>
                          <w:bCs w:val="0"/>
                          <w:sz w:val="19"/>
                          <w:szCs w:val="19"/>
                        </w:rPr>
                        <w:t>Afi</w:t>
                      </w:r>
                      <w:proofErr w:type="spellEnd"/>
                      <w:r w:rsidRPr="001B6DD8">
                        <w:rPr>
                          <w:b w:val="0"/>
                          <w:bCs w:val="0"/>
                          <w:sz w:val="19"/>
                          <w:szCs w:val="19"/>
                        </w:rPr>
                        <w:t xml:space="preserve">-AGETT prevé una caída de la ocupación del -1,2% en </w:t>
                      </w:r>
                      <w:r>
                        <w:rPr>
                          <w:b w:val="0"/>
                          <w:bCs w:val="0"/>
                          <w:sz w:val="19"/>
                          <w:szCs w:val="19"/>
                        </w:rPr>
                        <w:t>noviembre</w:t>
                      </w:r>
                      <w:r w:rsidRPr="001B6DD8">
                        <w:rPr>
                          <w:b w:val="0"/>
                          <w:bCs w:val="0"/>
                          <w:sz w:val="19"/>
                          <w:szCs w:val="19"/>
                        </w:rPr>
                        <w:t xml:space="preserve"> con un </w:t>
                      </w:r>
                      <w:r w:rsidRPr="00713874">
                        <w:rPr>
                          <w:b w:val="0"/>
                          <w:bCs w:val="0"/>
                          <w:sz w:val="19"/>
                          <w:szCs w:val="19"/>
                        </w:rPr>
                        <w:t xml:space="preserve">total de </w:t>
                      </w:r>
                      <w:r w:rsidR="00713874" w:rsidRPr="00713874">
                        <w:rPr>
                          <w:b w:val="0"/>
                          <w:bCs w:val="0"/>
                          <w:sz w:val="19"/>
                          <w:szCs w:val="19"/>
                        </w:rPr>
                        <w:t>18,20</w:t>
                      </w:r>
                      <w:r w:rsidRPr="00713874">
                        <w:rPr>
                          <w:b w:val="0"/>
                          <w:bCs w:val="0"/>
                          <w:sz w:val="19"/>
                          <w:szCs w:val="19"/>
                        </w:rPr>
                        <w:t xml:space="preserve"> millones </w:t>
                      </w:r>
                      <w:r w:rsidRPr="001B6DD8">
                        <w:rPr>
                          <w:b w:val="0"/>
                          <w:bCs w:val="0"/>
                          <w:sz w:val="19"/>
                          <w:szCs w:val="19"/>
                        </w:rPr>
                        <w:t xml:space="preserve">de ocupados </w:t>
                      </w:r>
                    </w:p>
                    <w:p w:rsidR="009274E7" w:rsidRPr="00F44B2E" w:rsidRDefault="009274E7" w:rsidP="00662377">
                      <w:pPr>
                        <w:pStyle w:val="Prrafodelista"/>
                        <w:rPr>
                          <w:b/>
                          <w:bCs/>
                          <w:sz w:val="11"/>
                          <w:szCs w:val="11"/>
                        </w:rPr>
                      </w:pPr>
                    </w:p>
                    <w:p w:rsidR="009274E7" w:rsidRDefault="009274E7" w:rsidP="00662377">
                      <w:pPr>
                        <w:pStyle w:val="Sangradetextonormal"/>
                        <w:numPr>
                          <w:ilvl w:val="0"/>
                          <w:numId w:val="1"/>
                        </w:numPr>
                        <w:jc w:val="both"/>
                        <w:rPr>
                          <w:b w:val="0"/>
                          <w:bCs w:val="0"/>
                          <w:sz w:val="19"/>
                          <w:szCs w:val="19"/>
                        </w:rPr>
                      </w:pPr>
                      <w:r w:rsidRPr="00E62856">
                        <w:rPr>
                          <w:b w:val="0"/>
                          <w:bCs w:val="0"/>
                          <w:sz w:val="19"/>
                          <w:szCs w:val="19"/>
                        </w:rPr>
                        <w:t>Los negativos registros de empleo, las perspectivas macroeconómicas y los anunciados recortes en las AAPP marcarán un negativo devenir en términos de empleo</w:t>
                      </w:r>
                    </w:p>
                    <w:p w:rsidR="009274E7" w:rsidRPr="00B74AAA" w:rsidRDefault="009274E7" w:rsidP="00B954C5">
                      <w:pPr>
                        <w:pStyle w:val="Sangradetextonormal"/>
                        <w:ind w:left="0"/>
                        <w:jc w:val="both"/>
                        <w:rPr>
                          <w:b w:val="0"/>
                          <w:bCs w:val="0"/>
                          <w:sz w:val="10"/>
                          <w:szCs w:val="10"/>
                        </w:rPr>
                      </w:pPr>
                    </w:p>
                    <w:p w:rsidR="00B74AAA" w:rsidRDefault="009274E7" w:rsidP="00B74AAA">
                      <w:pPr>
                        <w:pStyle w:val="Sangradetextonormal"/>
                        <w:numPr>
                          <w:ilvl w:val="0"/>
                          <w:numId w:val="1"/>
                        </w:numPr>
                        <w:jc w:val="both"/>
                        <w:rPr>
                          <w:b w:val="0"/>
                          <w:bCs w:val="0"/>
                          <w:sz w:val="19"/>
                          <w:szCs w:val="19"/>
                        </w:rPr>
                      </w:pPr>
                      <w:r>
                        <w:rPr>
                          <w:b w:val="0"/>
                          <w:bCs w:val="0"/>
                          <w:sz w:val="19"/>
                          <w:szCs w:val="19"/>
                        </w:rPr>
                        <w:t>En el ITR11 las</w:t>
                      </w:r>
                      <w:r w:rsidRPr="00ED7A2E">
                        <w:rPr>
                          <w:b w:val="0"/>
                          <w:bCs w:val="0"/>
                          <w:sz w:val="19"/>
                          <w:szCs w:val="19"/>
                        </w:rPr>
                        <w:t xml:space="preserve"> CC.AA ya habían registrado en conjunto un déficit del 0,46% del PIB, una tercera parte del marcado como objetivo para el conjunto del año, 1,3% del PIB</w:t>
                      </w:r>
                    </w:p>
                    <w:p w:rsidR="00B74AAA" w:rsidRPr="00B74AAA" w:rsidRDefault="00B74AAA" w:rsidP="00B74AAA">
                      <w:pPr>
                        <w:pStyle w:val="Prrafodelista"/>
                        <w:rPr>
                          <w:sz w:val="10"/>
                          <w:szCs w:val="10"/>
                        </w:rPr>
                      </w:pPr>
                    </w:p>
                    <w:p w:rsidR="009274E7" w:rsidRDefault="009274E7" w:rsidP="00B74AAA">
                      <w:pPr>
                        <w:pStyle w:val="Sangradetextonormal"/>
                        <w:numPr>
                          <w:ilvl w:val="0"/>
                          <w:numId w:val="1"/>
                        </w:numPr>
                        <w:jc w:val="both"/>
                        <w:rPr>
                          <w:b w:val="0"/>
                          <w:bCs w:val="0"/>
                          <w:sz w:val="19"/>
                          <w:szCs w:val="19"/>
                        </w:rPr>
                      </w:pPr>
                      <w:r w:rsidRPr="00B74AAA">
                        <w:rPr>
                          <w:b w:val="0"/>
                          <w:bCs w:val="0"/>
                          <w:sz w:val="19"/>
                          <w:szCs w:val="19"/>
                        </w:rPr>
                        <w:t xml:space="preserve">La deuda pública española es del 63,6% del PIB en el ITR11, </w:t>
                      </w:r>
                      <w:r w:rsidR="00B74AAA" w:rsidRPr="00B74AAA">
                        <w:rPr>
                          <w:b w:val="0"/>
                          <w:bCs w:val="0"/>
                          <w:sz w:val="19"/>
                          <w:szCs w:val="19"/>
                        </w:rPr>
                        <w:t xml:space="preserve">repartido de la siguiente manera: Administración Central, con un volumen de deuda equivalente al 48,7% del PIB, el 11,4% de las Comunidades Autónomas y el 3,5% para las  Corporaciones Locales </w:t>
                      </w:r>
                    </w:p>
                    <w:p w:rsidR="00B74AAA" w:rsidRPr="00A55663" w:rsidRDefault="00B74AAA" w:rsidP="00B74AAA">
                      <w:pPr>
                        <w:pStyle w:val="Prrafodelista"/>
                        <w:rPr>
                          <w:b/>
                          <w:bCs/>
                          <w:sz w:val="10"/>
                          <w:szCs w:val="10"/>
                        </w:rPr>
                      </w:pPr>
                    </w:p>
                    <w:p w:rsidR="00B954C5" w:rsidRDefault="00B954C5" w:rsidP="00B954C5">
                      <w:pPr>
                        <w:pStyle w:val="Sangradetextonormal"/>
                        <w:numPr>
                          <w:ilvl w:val="0"/>
                          <w:numId w:val="1"/>
                        </w:numPr>
                        <w:jc w:val="both"/>
                        <w:rPr>
                          <w:b w:val="0"/>
                          <w:bCs w:val="0"/>
                          <w:sz w:val="19"/>
                          <w:szCs w:val="19"/>
                        </w:rPr>
                      </w:pPr>
                      <w:r>
                        <w:rPr>
                          <w:b w:val="0"/>
                          <w:bCs w:val="0"/>
                          <w:sz w:val="19"/>
                          <w:szCs w:val="19"/>
                        </w:rPr>
                        <w:t>Las actuaciones de reducción en el gasto para cumplir con los objetivos de déficit tendrán efectos directos sobre el mercado de trabajo</w:t>
                      </w:r>
                    </w:p>
                    <w:p w:rsidR="00B954C5" w:rsidRPr="00A55663" w:rsidRDefault="00B954C5" w:rsidP="00B954C5">
                      <w:pPr>
                        <w:pStyle w:val="Prrafodelista"/>
                        <w:rPr>
                          <w:b/>
                          <w:bCs/>
                          <w:sz w:val="10"/>
                          <w:szCs w:val="10"/>
                        </w:rPr>
                      </w:pPr>
                    </w:p>
                    <w:p w:rsidR="00A55663" w:rsidRDefault="00A55663" w:rsidP="00B954C5">
                      <w:pPr>
                        <w:pStyle w:val="Sangradetextonormal"/>
                        <w:numPr>
                          <w:ilvl w:val="0"/>
                          <w:numId w:val="1"/>
                        </w:numPr>
                        <w:jc w:val="both"/>
                        <w:rPr>
                          <w:b w:val="0"/>
                          <w:bCs w:val="0"/>
                          <w:sz w:val="19"/>
                          <w:szCs w:val="19"/>
                        </w:rPr>
                      </w:pPr>
                      <w:r>
                        <w:rPr>
                          <w:b w:val="0"/>
                          <w:bCs w:val="0"/>
                          <w:sz w:val="19"/>
                          <w:szCs w:val="19"/>
                        </w:rPr>
                        <w:t>L</w:t>
                      </w:r>
                      <w:r w:rsidRPr="00A55663">
                        <w:rPr>
                          <w:b w:val="0"/>
                          <w:bCs w:val="0"/>
                          <w:sz w:val="19"/>
                          <w:szCs w:val="19"/>
                        </w:rPr>
                        <w:t xml:space="preserve">as comunidades que </w:t>
                      </w:r>
                      <w:r w:rsidR="009A0A81">
                        <w:rPr>
                          <w:b w:val="0"/>
                          <w:bCs w:val="0"/>
                          <w:sz w:val="19"/>
                          <w:szCs w:val="19"/>
                        </w:rPr>
                        <w:t>registraron al cierre de 2010</w:t>
                      </w:r>
                      <w:r w:rsidRPr="00A55663">
                        <w:rPr>
                          <w:b w:val="0"/>
                          <w:bCs w:val="0"/>
                          <w:sz w:val="19"/>
                          <w:szCs w:val="19"/>
                        </w:rPr>
                        <w:t xml:space="preserve"> un</w:t>
                      </w:r>
                      <w:r>
                        <w:rPr>
                          <w:b w:val="0"/>
                          <w:bCs w:val="0"/>
                          <w:sz w:val="19"/>
                          <w:szCs w:val="19"/>
                        </w:rPr>
                        <w:t xml:space="preserve"> mayor déficit fueron Castilla </w:t>
                      </w:r>
                      <w:r w:rsidRPr="00A55663">
                        <w:rPr>
                          <w:b w:val="0"/>
                          <w:bCs w:val="0"/>
                          <w:sz w:val="19"/>
                          <w:szCs w:val="19"/>
                        </w:rPr>
                        <w:t>La Mancha (6,22% del PIB), Murcia (4,95%) e Islas Baleares (4,16%).</w:t>
                      </w:r>
                    </w:p>
                    <w:p w:rsidR="00A55663" w:rsidRPr="00A55663" w:rsidRDefault="00A55663" w:rsidP="00A55663">
                      <w:pPr>
                        <w:pStyle w:val="Prrafodelista"/>
                        <w:rPr>
                          <w:b/>
                          <w:bCs/>
                          <w:sz w:val="10"/>
                          <w:szCs w:val="10"/>
                        </w:rPr>
                      </w:pPr>
                    </w:p>
                    <w:p w:rsidR="00A55663" w:rsidRDefault="00A55663" w:rsidP="00B954C5">
                      <w:pPr>
                        <w:pStyle w:val="Sangradetextonormal"/>
                        <w:numPr>
                          <w:ilvl w:val="0"/>
                          <w:numId w:val="1"/>
                        </w:numPr>
                        <w:jc w:val="both"/>
                        <w:rPr>
                          <w:b w:val="0"/>
                          <w:bCs w:val="0"/>
                          <w:sz w:val="19"/>
                          <w:szCs w:val="19"/>
                        </w:rPr>
                      </w:pPr>
                      <w:r w:rsidRPr="00A55663">
                        <w:rPr>
                          <w:b w:val="0"/>
                          <w:bCs w:val="0"/>
                          <w:sz w:val="19"/>
                          <w:szCs w:val="19"/>
                        </w:rPr>
                        <w:t>Las comunidades con mayor deuda pública respecto a su PIB regional a marzo de 2011 son Comunidad Valenciana (17,4%), Castilla – La Mancha (16,9%) y Cataluña (17,2%)</w:t>
                      </w:r>
                    </w:p>
                    <w:p w:rsidR="00B74AAA" w:rsidRPr="00A55663" w:rsidRDefault="00B74AAA" w:rsidP="00B954C5">
                      <w:pPr>
                        <w:pStyle w:val="Sangradetextonormal"/>
                        <w:ind w:left="0"/>
                        <w:jc w:val="both"/>
                        <w:rPr>
                          <w:b w:val="0"/>
                          <w:bCs w:val="0"/>
                          <w:sz w:val="10"/>
                          <w:szCs w:val="10"/>
                        </w:rPr>
                      </w:pPr>
                    </w:p>
                    <w:p w:rsidR="00B954C5" w:rsidRPr="00B74AAA" w:rsidRDefault="00B954C5" w:rsidP="00B954C5">
                      <w:pPr>
                        <w:pStyle w:val="Sangradetextonormal"/>
                        <w:ind w:left="0"/>
                        <w:jc w:val="both"/>
                        <w:rPr>
                          <w:b w:val="0"/>
                          <w:bCs w:val="0"/>
                          <w:sz w:val="19"/>
                          <w:szCs w:val="19"/>
                        </w:rPr>
                      </w:pPr>
                    </w:p>
                    <w:p w:rsidR="009274E7" w:rsidRPr="00E62856" w:rsidRDefault="009274E7" w:rsidP="00E62856">
                      <w:pPr>
                        <w:pStyle w:val="Sangradetextonormal"/>
                        <w:jc w:val="both"/>
                        <w:rPr>
                          <w:sz w:val="11"/>
                          <w:szCs w:val="11"/>
                        </w:rPr>
                      </w:pPr>
                    </w:p>
                    <w:p w:rsidR="009274E7" w:rsidRPr="004F6D41" w:rsidRDefault="009274E7" w:rsidP="00662377">
                      <w:pPr>
                        <w:pStyle w:val="Sangradetextonormal"/>
                        <w:jc w:val="both"/>
                        <w:rPr>
                          <w:b w:val="0"/>
                          <w:bCs w:val="0"/>
                        </w:rPr>
                      </w:pPr>
                    </w:p>
                  </w:txbxContent>
                </v:textbox>
                <w10:wrap type="square"/>
              </v:rect>
            </w:pict>
          </mc:Fallback>
        </mc:AlternateContent>
      </w:r>
    </w:p>
    <w:p w:rsidR="007F3E10" w:rsidRPr="00A55663" w:rsidRDefault="007F3E10" w:rsidP="0052014F">
      <w:pPr>
        <w:pStyle w:val="Ttulo9"/>
        <w:ind w:right="-441" w:hanging="360"/>
        <w:jc w:val="center"/>
        <w:rPr>
          <w:rFonts w:cs="Arial"/>
          <w:b w:val="0"/>
          <w:color w:val="000080"/>
          <w:sz w:val="10"/>
          <w:szCs w:val="10"/>
        </w:rPr>
      </w:pPr>
    </w:p>
    <w:p w:rsidR="00662377" w:rsidRPr="00551825" w:rsidRDefault="00662377" w:rsidP="00662377">
      <w:pPr>
        <w:jc w:val="both"/>
        <w:rPr>
          <w:rFonts w:cs="Arial"/>
          <w:b/>
          <w:color w:val="000080"/>
          <w:sz w:val="19"/>
          <w:szCs w:val="19"/>
          <w:u w:val="single"/>
        </w:rPr>
      </w:pPr>
      <w:r w:rsidRPr="00551825">
        <w:rPr>
          <w:rFonts w:cs="Arial"/>
          <w:b/>
          <w:color w:val="000080"/>
          <w:sz w:val="19"/>
          <w:szCs w:val="19"/>
          <w:u w:val="single"/>
        </w:rPr>
        <w:t xml:space="preserve">El Indicador AML Afi-AGETT prevé una caída de la ocupación del -1,2% interanual en </w:t>
      </w:r>
      <w:r>
        <w:rPr>
          <w:rFonts w:cs="Arial"/>
          <w:b/>
          <w:color w:val="000080"/>
          <w:sz w:val="19"/>
          <w:szCs w:val="19"/>
          <w:u w:val="single"/>
        </w:rPr>
        <w:t>noviembre</w:t>
      </w:r>
      <w:r w:rsidRPr="00551825">
        <w:rPr>
          <w:rFonts w:cs="Arial"/>
          <w:b/>
          <w:color w:val="000080"/>
          <w:sz w:val="19"/>
          <w:szCs w:val="19"/>
          <w:u w:val="single"/>
        </w:rPr>
        <w:t>, situando en agregado total en los 18,</w:t>
      </w:r>
      <w:r w:rsidR="00713874" w:rsidRPr="00713874">
        <w:rPr>
          <w:rFonts w:cs="Arial"/>
          <w:b/>
          <w:color w:val="000080"/>
          <w:sz w:val="19"/>
          <w:szCs w:val="19"/>
          <w:u w:val="single"/>
        </w:rPr>
        <w:t>20 millones</w:t>
      </w:r>
      <w:r w:rsidRPr="00551825">
        <w:rPr>
          <w:rFonts w:cs="Arial"/>
          <w:b/>
          <w:color w:val="000080"/>
          <w:sz w:val="19"/>
          <w:szCs w:val="19"/>
          <w:u w:val="single"/>
        </w:rPr>
        <w:t xml:space="preserve"> de ocupados</w:t>
      </w:r>
    </w:p>
    <w:p w:rsidR="00662377" w:rsidRPr="00551825" w:rsidRDefault="00662377" w:rsidP="00662377">
      <w:pPr>
        <w:ind w:right="-81"/>
        <w:jc w:val="both"/>
        <w:rPr>
          <w:rFonts w:cs="Arial"/>
          <w:b/>
          <w:color w:val="000080"/>
          <w:sz w:val="12"/>
          <w:szCs w:val="12"/>
          <w:u w:val="single"/>
        </w:rPr>
      </w:pPr>
    </w:p>
    <w:p w:rsidR="00662377" w:rsidRDefault="00662377" w:rsidP="00662377">
      <w:pPr>
        <w:ind w:right="-81"/>
        <w:jc w:val="both"/>
        <w:rPr>
          <w:rFonts w:cs="Arial"/>
          <w:sz w:val="19"/>
          <w:szCs w:val="19"/>
        </w:rPr>
      </w:pPr>
      <w:r w:rsidRPr="00551825">
        <w:rPr>
          <w:rFonts w:cs="Arial"/>
          <w:sz w:val="19"/>
          <w:szCs w:val="19"/>
        </w:rPr>
        <w:t xml:space="preserve">El </w:t>
      </w:r>
      <w:r>
        <w:rPr>
          <w:rFonts w:cs="Arial"/>
          <w:sz w:val="19"/>
          <w:szCs w:val="19"/>
        </w:rPr>
        <w:t>indicador AML Afi-AGETT espera que la caída interanual de la ocupación se sitúe en el      -1,2%, situando el agregado total de ocupados en los</w:t>
      </w:r>
      <w:r w:rsidR="00713874">
        <w:rPr>
          <w:rFonts w:cs="Arial"/>
          <w:sz w:val="19"/>
          <w:szCs w:val="19"/>
        </w:rPr>
        <w:t xml:space="preserve"> 18,20 millones de ocupados. Cifra que supondría el menor registro </w:t>
      </w:r>
      <w:r w:rsidR="008B3356">
        <w:rPr>
          <w:rFonts w:cs="Arial"/>
          <w:sz w:val="19"/>
          <w:szCs w:val="19"/>
        </w:rPr>
        <w:t>desde el primer trimestre de este año.</w:t>
      </w:r>
      <w:r>
        <w:rPr>
          <w:rFonts w:cs="Arial"/>
          <w:sz w:val="19"/>
          <w:szCs w:val="19"/>
        </w:rPr>
        <w:t xml:space="preserve"> </w:t>
      </w:r>
    </w:p>
    <w:p w:rsidR="00713874" w:rsidRDefault="00713874" w:rsidP="00662377">
      <w:pPr>
        <w:ind w:right="-81"/>
        <w:jc w:val="both"/>
        <w:rPr>
          <w:rFonts w:cs="Arial"/>
          <w:b/>
          <w:color w:val="FF0000"/>
          <w:sz w:val="19"/>
          <w:szCs w:val="19"/>
          <w:u w:val="single"/>
        </w:rPr>
      </w:pPr>
    </w:p>
    <w:p w:rsidR="00662377" w:rsidRDefault="00662377" w:rsidP="00662377">
      <w:pPr>
        <w:ind w:right="-81"/>
        <w:jc w:val="both"/>
        <w:rPr>
          <w:rFonts w:cs="Arial"/>
          <w:sz w:val="19"/>
          <w:szCs w:val="19"/>
        </w:rPr>
      </w:pPr>
      <w:r>
        <w:rPr>
          <w:rFonts w:cs="Arial"/>
          <w:sz w:val="19"/>
          <w:szCs w:val="19"/>
        </w:rPr>
        <w:t xml:space="preserve">La estabilización de la afiliación en tasas de corrección interanual próximas al 1,1% desde el primer trimestre </w:t>
      </w:r>
      <w:r w:rsidR="00C827E9">
        <w:rPr>
          <w:rFonts w:cs="Arial"/>
          <w:sz w:val="19"/>
          <w:szCs w:val="19"/>
        </w:rPr>
        <w:t>de este año</w:t>
      </w:r>
      <w:r>
        <w:rPr>
          <w:rFonts w:cs="Arial"/>
          <w:sz w:val="19"/>
          <w:szCs w:val="19"/>
        </w:rPr>
        <w:t xml:space="preserve"> sugiere la formación de un suelo en el empleo, del que da cuenta este indicador para lo que queda de año. </w:t>
      </w:r>
      <w:r w:rsidRPr="006D3697">
        <w:rPr>
          <w:rFonts w:cs="Arial"/>
          <w:b/>
          <w:sz w:val="19"/>
          <w:szCs w:val="19"/>
        </w:rPr>
        <w:t>La aproximación del nivel de ocupación en noviembre a cotas similares a las de los primeros meses de 2011 pone de manifiesto los riesgos de asistir a un nuevo mínimo de ocupación en el último trimestre, cuando el turismo no sea capaz de compensar la acentuación del deterioro en el resto de sectores de actividad</w:t>
      </w:r>
      <w:r>
        <w:rPr>
          <w:rFonts w:cs="Arial"/>
          <w:sz w:val="19"/>
          <w:szCs w:val="19"/>
        </w:rPr>
        <w:t>. En cualquier caso, los registros del mes de septiembre serán claves para disipar las dudas y fijar la senda de ocupación de ahora en adelante.</w:t>
      </w:r>
    </w:p>
    <w:p w:rsidR="00662377" w:rsidRDefault="00662377" w:rsidP="00662377">
      <w:pPr>
        <w:ind w:right="-81"/>
        <w:jc w:val="both"/>
        <w:rPr>
          <w:rFonts w:cs="Arial"/>
          <w:sz w:val="19"/>
          <w:szCs w:val="19"/>
        </w:rPr>
      </w:pPr>
    </w:p>
    <w:p w:rsidR="00662377" w:rsidRDefault="00662377" w:rsidP="00662377">
      <w:pPr>
        <w:ind w:right="-81"/>
        <w:jc w:val="both"/>
        <w:rPr>
          <w:rFonts w:cs="Arial"/>
          <w:b/>
          <w:color w:val="000080"/>
          <w:sz w:val="19"/>
          <w:szCs w:val="19"/>
          <w:u w:val="single"/>
        </w:rPr>
      </w:pPr>
      <w:r w:rsidRPr="00CF6A62">
        <w:rPr>
          <w:rFonts w:cs="Arial"/>
          <w:b/>
          <w:color w:val="000080"/>
          <w:sz w:val="19"/>
          <w:szCs w:val="19"/>
          <w:u w:val="single"/>
        </w:rPr>
        <w:t>L</w:t>
      </w:r>
      <w:r w:rsidRPr="00170E5D">
        <w:rPr>
          <w:rFonts w:cs="Arial"/>
          <w:b/>
          <w:color w:val="000080"/>
          <w:sz w:val="19"/>
          <w:szCs w:val="19"/>
          <w:u w:val="single"/>
        </w:rPr>
        <w:t xml:space="preserve">os </w:t>
      </w:r>
      <w:r w:rsidR="004F4A4D">
        <w:rPr>
          <w:rFonts w:cs="Arial"/>
          <w:b/>
          <w:color w:val="000080"/>
          <w:sz w:val="19"/>
          <w:szCs w:val="19"/>
          <w:u w:val="single"/>
        </w:rPr>
        <w:t>negativos datos de paro y afiliación, la situación macroeconómica global y el anunciado recorte en las AAPP marcarán el negativo devenir el empleo para los próximos meses</w:t>
      </w:r>
    </w:p>
    <w:p w:rsidR="00C827E9" w:rsidRDefault="00C827E9" w:rsidP="00662377">
      <w:pPr>
        <w:ind w:right="-81"/>
        <w:jc w:val="both"/>
        <w:rPr>
          <w:rFonts w:cs="Arial"/>
          <w:b/>
          <w:color w:val="000080"/>
          <w:sz w:val="19"/>
          <w:szCs w:val="19"/>
          <w:u w:val="single"/>
        </w:rPr>
      </w:pPr>
    </w:p>
    <w:p w:rsidR="00E62856" w:rsidRDefault="00C827E9" w:rsidP="00E62856">
      <w:pPr>
        <w:ind w:right="-81"/>
        <w:jc w:val="both"/>
        <w:rPr>
          <w:rFonts w:cs="Arial"/>
          <w:sz w:val="19"/>
          <w:szCs w:val="19"/>
        </w:rPr>
      </w:pPr>
      <w:r w:rsidRPr="00C827E9">
        <w:rPr>
          <w:rFonts w:cs="Arial"/>
          <w:sz w:val="19"/>
          <w:szCs w:val="19"/>
        </w:rPr>
        <w:t>Los últimos datos de paro registrado y afiliación del pasado mes de agosto ponen de manifiesto que todavía estamos lejos de un año de ciclo normal en términos de empleo. Esto, sumado a</w:t>
      </w:r>
      <w:r w:rsidR="004F4A4D">
        <w:rPr>
          <w:rFonts w:cs="Arial"/>
          <w:sz w:val="19"/>
          <w:szCs w:val="19"/>
        </w:rPr>
        <w:t xml:space="preserve"> la perspectiva macro de estancamiento o incluso empeoramiento económico global y los recortes generalizados en las Administraciones Públicas que se anuncian con las elaboración de los pre</w:t>
      </w:r>
      <w:r w:rsidR="00E62856">
        <w:rPr>
          <w:rFonts w:cs="Arial"/>
          <w:sz w:val="19"/>
          <w:szCs w:val="19"/>
        </w:rPr>
        <w:t>supuestos autonómicos y locales, hace que la situación de cara al futuro se presente más que complicada.</w:t>
      </w:r>
    </w:p>
    <w:p w:rsidR="00E62856" w:rsidRDefault="00E62856" w:rsidP="00E62856">
      <w:pPr>
        <w:ind w:right="-81"/>
        <w:jc w:val="both"/>
        <w:rPr>
          <w:rFonts w:cs="Arial"/>
          <w:sz w:val="19"/>
          <w:szCs w:val="19"/>
        </w:rPr>
      </w:pPr>
    </w:p>
    <w:p w:rsidR="00E62856" w:rsidRPr="00E62856" w:rsidRDefault="00E62856" w:rsidP="00E62856">
      <w:pPr>
        <w:ind w:right="-81"/>
        <w:jc w:val="both"/>
        <w:rPr>
          <w:rFonts w:cs="Arial"/>
          <w:sz w:val="19"/>
          <w:szCs w:val="19"/>
        </w:rPr>
      </w:pPr>
      <w:r>
        <w:rPr>
          <w:rFonts w:cs="Arial"/>
          <w:sz w:val="19"/>
          <w:szCs w:val="19"/>
        </w:rPr>
        <w:t xml:space="preserve">Las Administraciones Públicas españolas cerraron el año 2010 con un déficit </w:t>
      </w:r>
      <w:r w:rsidRPr="00E62856">
        <w:rPr>
          <w:rFonts w:cs="Arial"/>
          <w:sz w:val="19"/>
          <w:szCs w:val="19"/>
        </w:rPr>
        <w:t>elevado del 9,2% del PIB, que no obstante se espera que sea el inicio de la senda de consolidación que debe afronta</w:t>
      </w:r>
      <w:r>
        <w:rPr>
          <w:rFonts w:cs="Arial"/>
          <w:sz w:val="19"/>
          <w:szCs w:val="19"/>
        </w:rPr>
        <w:t xml:space="preserve">r España en los próximos años. </w:t>
      </w:r>
      <w:r w:rsidRPr="00E62856">
        <w:rPr>
          <w:rFonts w:cs="Arial"/>
          <w:sz w:val="19"/>
          <w:szCs w:val="19"/>
        </w:rPr>
        <w:t xml:space="preserve">De cara a los próximos ejercicios y tal y como </w:t>
      </w:r>
      <w:r w:rsidRPr="00E62856">
        <w:rPr>
          <w:rFonts w:cs="Arial"/>
          <w:sz w:val="19"/>
          <w:szCs w:val="19"/>
        </w:rPr>
        <w:lastRenderedPageBreak/>
        <w:t xml:space="preserve">se recoge en el Programa de Estabilidad 2011-2014, </w:t>
      </w:r>
      <w:r w:rsidRPr="006D3697">
        <w:rPr>
          <w:rFonts w:cs="Arial"/>
          <w:b/>
          <w:sz w:val="19"/>
          <w:szCs w:val="19"/>
        </w:rPr>
        <w:t>el conjunto de Administraciones se verán sometidas a un fuerte compromiso de consolidación fiscal</w:t>
      </w:r>
      <w:r w:rsidRPr="00E62856">
        <w:rPr>
          <w:rFonts w:cs="Arial"/>
          <w:sz w:val="19"/>
          <w:szCs w:val="19"/>
        </w:rPr>
        <w:t>, para cumplir en 2013 con el objetivo marcado por la UE, 3,0% de déficit sobre el PIB.</w:t>
      </w:r>
    </w:p>
    <w:p w:rsidR="00E62856" w:rsidRDefault="00E62856" w:rsidP="00E62856">
      <w:pPr>
        <w:keepNext/>
        <w:spacing w:before="120"/>
        <w:jc w:val="both"/>
        <w:rPr>
          <w:rFonts w:cs="Arial"/>
          <w:sz w:val="19"/>
          <w:szCs w:val="19"/>
        </w:rPr>
      </w:pPr>
      <w:r w:rsidRPr="006D3697">
        <w:rPr>
          <w:rFonts w:cs="Arial"/>
          <w:b/>
          <w:sz w:val="19"/>
          <w:szCs w:val="19"/>
        </w:rPr>
        <w:t>Las actuaciones que deberán ser ejecutadas en términos de reducción del gasto tendrán efectos directos sobre el mercado de trabajo</w:t>
      </w:r>
      <w:r w:rsidRPr="00E62856">
        <w:rPr>
          <w:rFonts w:cs="Arial"/>
          <w:sz w:val="19"/>
          <w:szCs w:val="19"/>
        </w:rPr>
        <w:t xml:space="preserve"> tanto en lo que se refiere a los empleados en el sector público como al empleo en aquellos sectores que son suministradores de bienes y servicios para el sector público, </w:t>
      </w:r>
      <w:r w:rsidRPr="006D3697">
        <w:rPr>
          <w:rFonts w:cs="Arial"/>
          <w:b/>
          <w:sz w:val="19"/>
          <w:szCs w:val="19"/>
        </w:rPr>
        <w:t>con el consiguiente multiplicador de impacto a toda la economía</w:t>
      </w:r>
      <w:r w:rsidRPr="00E62856">
        <w:rPr>
          <w:rFonts w:cs="Arial"/>
          <w:sz w:val="19"/>
          <w:szCs w:val="19"/>
        </w:rPr>
        <w:t>.</w:t>
      </w:r>
    </w:p>
    <w:p w:rsidR="00662377" w:rsidRDefault="00662377" w:rsidP="00662377">
      <w:pPr>
        <w:ind w:right="-81"/>
        <w:jc w:val="both"/>
        <w:rPr>
          <w:rFonts w:cs="Arial"/>
          <w:sz w:val="19"/>
          <w:szCs w:val="19"/>
        </w:rPr>
      </w:pPr>
    </w:p>
    <w:p w:rsidR="00E62856" w:rsidRDefault="00E62856" w:rsidP="00662377">
      <w:pPr>
        <w:ind w:right="-81"/>
        <w:jc w:val="both"/>
        <w:rPr>
          <w:rFonts w:cs="Arial"/>
          <w:b/>
          <w:color w:val="000080"/>
          <w:sz w:val="19"/>
          <w:szCs w:val="19"/>
          <w:u w:val="single"/>
        </w:rPr>
      </w:pPr>
      <w:r w:rsidRPr="00E62856">
        <w:rPr>
          <w:rFonts w:cs="Arial"/>
          <w:b/>
          <w:color w:val="000080"/>
          <w:sz w:val="19"/>
          <w:szCs w:val="19"/>
          <w:u w:val="single"/>
        </w:rPr>
        <w:t>Los problemas para financiar la deuda pública hacen necesarios recortes en los gastos públicos, lo que afectará sobre la actividad y la contratación</w:t>
      </w:r>
    </w:p>
    <w:p w:rsidR="00E62856" w:rsidRDefault="00E62856" w:rsidP="00662377">
      <w:pPr>
        <w:ind w:right="-81"/>
        <w:jc w:val="both"/>
        <w:rPr>
          <w:rFonts w:cs="Arial"/>
          <w:b/>
          <w:color w:val="000080"/>
          <w:sz w:val="19"/>
          <w:szCs w:val="19"/>
          <w:u w:val="single"/>
        </w:rPr>
      </w:pPr>
    </w:p>
    <w:p w:rsidR="00E62856" w:rsidRDefault="002A6792" w:rsidP="00662377">
      <w:pPr>
        <w:ind w:right="-81"/>
        <w:jc w:val="both"/>
        <w:rPr>
          <w:rFonts w:cs="Arial"/>
          <w:sz w:val="19"/>
          <w:szCs w:val="19"/>
        </w:rPr>
      </w:pPr>
      <w:r>
        <w:rPr>
          <w:rFonts w:cs="Arial"/>
          <w:sz w:val="19"/>
          <w:szCs w:val="19"/>
        </w:rPr>
        <w:t xml:space="preserve">El déficit de las Administraciones Públicas ha traído consigo un incremento en la deuda pública en términos de PIB. Desde diciembre de 2007 la deuda pública de las AAPP españolas se ha incrementado en un 75,2% (del 36,1% del PIB en diciembre de 2007 hasta el 63,6% en el primer trimestre de 2011). </w:t>
      </w:r>
    </w:p>
    <w:p w:rsidR="002A6792" w:rsidRDefault="002A6792" w:rsidP="00662377">
      <w:pPr>
        <w:ind w:right="-81"/>
        <w:jc w:val="both"/>
        <w:rPr>
          <w:rFonts w:cs="Arial"/>
          <w:sz w:val="19"/>
          <w:szCs w:val="19"/>
        </w:rPr>
      </w:pPr>
    </w:p>
    <w:p w:rsidR="002A6792" w:rsidRDefault="002A6792" w:rsidP="00662377">
      <w:pPr>
        <w:ind w:right="-81"/>
        <w:jc w:val="both"/>
        <w:rPr>
          <w:rFonts w:cs="Arial"/>
          <w:sz w:val="19"/>
          <w:szCs w:val="19"/>
        </w:rPr>
      </w:pPr>
      <w:r>
        <w:rPr>
          <w:rFonts w:cs="Arial"/>
          <w:sz w:val="19"/>
          <w:szCs w:val="19"/>
        </w:rPr>
        <w:t xml:space="preserve">El mayor peso relativo </w:t>
      </w:r>
      <w:r w:rsidRPr="002A6792">
        <w:rPr>
          <w:rFonts w:cs="Arial"/>
          <w:sz w:val="19"/>
          <w:szCs w:val="19"/>
        </w:rPr>
        <w:t>en el conjunto del Sector Público le corresponde a la Administración Central, con un volumen de deuda equivalente al 48,7% del PIB. Por otro lado, las Comunidades Autónomas se situarían en el 11,4% y las Corporaciones Locales en el 3,5%.</w:t>
      </w:r>
    </w:p>
    <w:p w:rsidR="002A6792" w:rsidRDefault="002A6792" w:rsidP="00662377">
      <w:pPr>
        <w:ind w:right="-81"/>
        <w:jc w:val="both"/>
        <w:rPr>
          <w:rFonts w:cs="Arial"/>
          <w:sz w:val="19"/>
          <w:szCs w:val="19"/>
        </w:rPr>
      </w:pPr>
    </w:p>
    <w:p w:rsidR="002A6792" w:rsidRPr="00E62856" w:rsidRDefault="002A6792" w:rsidP="00662377">
      <w:pPr>
        <w:ind w:right="-81"/>
        <w:jc w:val="both"/>
        <w:rPr>
          <w:rFonts w:cs="Arial"/>
          <w:sz w:val="19"/>
          <w:szCs w:val="19"/>
        </w:rPr>
      </w:pPr>
      <w:r w:rsidRPr="002A6792">
        <w:rPr>
          <w:rFonts w:cs="Arial"/>
          <w:sz w:val="19"/>
          <w:szCs w:val="19"/>
        </w:rPr>
        <w:t xml:space="preserve">En la actual situación del mercado, el recurso de financiación es cada vez más costoso y escaso, lo que dificulta la posibilidad de materializar las necesidades de endeudamiento, con el consiguiente impacto en los resultados presupuestarios, y una mayor apelación a financiación a corto plazo. Reflejo de las tensiones de liquidez es la </w:t>
      </w:r>
      <w:r w:rsidRPr="002A6792">
        <w:rPr>
          <w:rFonts w:cs="Arial"/>
          <w:b/>
          <w:sz w:val="19"/>
          <w:szCs w:val="19"/>
        </w:rPr>
        <w:t>ampliación de los periodos medios de pago a proveedores</w:t>
      </w:r>
      <w:r w:rsidRPr="002A6792">
        <w:rPr>
          <w:rFonts w:cs="Arial"/>
          <w:sz w:val="19"/>
          <w:szCs w:val="19"/>
        </w:rPr>
        <w:t xml:space="preserve"> que sufre el tejido productivo y que acaban </w:t>
      </w:r>
      <w:r w:rsidRPr="002A6792">
        <w:rPr>
          <w:rFonts w:cs="Arial"/>
          <w:b/>
          <w:sz w:val="19"/>
          <w:szCs w:val="19"/>
        </w:rPr>
        <w:t>incidiendo en la solvencia de muchas empresas y en su contratación</w:t>
      </w:r>
      <w:r w:rsidRPr="002A6792">
        <w:rPr>
          <w:rFonts w:cs="Arial"/>
          <w:sz w:val="19"/>
          <w:szCs w:val="19"/>
        </w:rPr>
        <w:t xml:space="preserve"> de fuerza laboral. </w:t>
      </w:r>
      <w:r w:rsidRPr="002A6792">
        <w:rPr>
          <w:rFonts w:cs="Arial"/>
          <w:b/>
          <w:sz w:val="19"/>
          <w:szCs w:val="19"/>
        </w:rPr>
        <w:t>La reciente reforma de la constitución pretende dar una mayor credibilidad al compromiso de consolidación fiscal y así generar confianza y mayor facilidad para obtener financiación en los mercados</w:t>
      </w:r>
      <w:r w:rsidRPr="002A6792">
        <w:rPr>
          <w:rFonts w:cs="Arial"/>
          <w:sz w:val="19"/>
          <w:szCs w:val="19"/>
        </w:rPr>
        <w:t>.</w:t>
      </w:r>
    </w:p>
    <w:p w:rsidR="00E62856" w:rsidRDefault="00E62856" w:rsidP="00662377">
      <w:pPr>
        <w:ind w:right="-81"/>
        <w:jc w:val="both"/>
        <w:rPr>
          <w:rFonts w:cs="Arial"/>
          <w:sz w:val="19"/>
          <w:szCs w:val="19"/>
        </w:rPr>
      </w:pPr>
    </w:p>
    <w:p w:rsidR="00E62856" w:rsidRPr="002A6792" w:rsidRDefault="002A6792" w:rsidP="00662377">
      <w:pPr>
        <w:ind w:right="-81"/>
        <w:jc w:val="both"/>
        <w:rPr>
          <w:rFonts w:cs="Arial"/>
          <w:b/>
          <w:color w:val="000080"/>
          <w:sz w:val="19"/>
          <w:szCs w:val="19"/>
          <w:u w:val="single"/>
        </w:rPr>
      </w:pPr>
      <w:r w:rsidRPr="002A6792">
        <w:rPr>
          <w:rFonts w:cs="Arial"/>
          <w:b/>
          <w:color w:val="000080"/>
          <w:sz w:val="19"/>
          <w:szCs w:val="19"/>
          <w:u w:val="single"/>
        </w:rPr>
        <w:t>Las CCAA del este peninsular, con mayores índices de déficit público serán las que experimenten un mayor impacto en su economía debido a los recortes</w:t>
      </w:r>
    </w:p>
    <w:p w:rsidR="002A6792" w:rsidRDefault="002A6792" w:rsidP="00662377">
      <w:pPr>
        <w:ind w:right="-81"/>
        <w:jc w:val="both"/>
        <w:rPr>
          <w:rFonts w:cs="Arial"/>
          <w:sz w:val="19"/>
          <w:szCs w:val="19"/>
        </w:rPr>
      </w:pPr>
    </w:p>
    <w:p w:rsidR="002A6792" w:rsidRDefault="000E77E5" w:rsidP="00662377">
      <w:pPr>
        <w:ind w:right="-81"/>
        <w:jc w:val="both"/>
        <w:rPr>
          <w:rFonts w:cs="Arial"/>
          <w:sz w:val="19"/>
          <w:szCs w:val="19"/>
        </w:rPr>
      </w:pPr>
      <w:r>
        <w:rPr>
          <w:rFonts w:cs="Arial"/>
          <w:sz w:val="19"/>
          <w:szCs w:val="19"/>
        </w:rPr>
        <w:t xml:space="preserve">Todas las CCAA experimentarán un impacto en sus economías como consecuencia de los necesarios ajustes y medidas de austeridad que habrán de tomar por el compromiso del déficit. Sin embargo, </w:t>
      </w:r>
      <w:r w:rsidRPr="006D3697">
        <w:rPr>
          <w:rFonts w:cs="Arial"/>
          <w:b/>
          <w:sz w:val="19"/>
          <w:szCs w:val="19"/>
        </w:rPr>
        <w:t>serán aquellas regiones con mayores niveles de déficit público, las que deberán aplicar recortes más drásticos, y por lo tanto, las que mayores impactos sufrirán en sus mercados de trabajo</w:t>
      </w:r>
      <w:r>
        <w:rPr>
          <w:rFonts w:cs="Arial"/>
          <w:sz w:val="19"/>
          <w:szCs w:val="19"/>
        </w:rPr>
        <w:t>.</w:t>
      </w:r>
    </w:p>
    <w:p w:rsidR="007F3E10" w:rsidRPr="007F3E10" w:rsidRDefault="007F3E10" w:rsidP="007F3E10">
      <w:pPr>
        <w:keepNext/>
        <w:jc w:val="both"/>
        <w:rPr>
          <w:rFonts w:cs="Arial"/>
          <w:sz w:val="19"/>
          <w:szCs w:val="19"/>
        </w:rPr>
      </w:pPr>
    </w:p>
    <w:p w:rsidR="000E77E5" w:rsidRDefault="007F3E10" w:rsidP="007F3E10">
      <w:pPr>
        <w:keepNext/>
        <w:jc w:val="both"/>
        <w:rPr>
          <w:rFonts w:cs="Arial"/>
          <w:sz w:val="19"/>
          <w:szCs w:val="19"/>
        </w:rPr>
      </w:pPr>
      <w:r w:rsidRPr="007F3E10">
        <w:rPr>
          <w:rFonts w:cs="Arial"/>
          <w:sz w:val="19"/>
          <w:szCs w:val="19"/>
        </w:rPr>
        <w:t xml:space="preserve">A cierre de 2010 las comunidades que registraron un mayor déficit fueron Castilla – La Mancha (6,22% del PIB), Murcia (4,95%) e Islas Baleares (4,16%). A estas les siguieron las regiones del noreste Peninsular. </w:t>
      </w:r>
      <w:r>
        <w:rPr>
          <w:rFonts w:cs="Arial"/>
          <w:sz w:val="19"/>
          <w:szCs w:val="19"/>
        </w:rPr>
        <w:t xml:space="preserve"> </w:t>
      </w:r>
      <w:r w:rsidRPr="007F3E10">
        <w:rPr>
          <w:rFonts w:cs="Arial"/>
          <w:sz w:val="19"/>
          <w:szCs w:val="19"/>
        </w:rPr>
        <w:t xml:space="preserve">Casos especialmente complicados son los de Castilla – La Mancha, Murcia y Comunidad Valenciana donde además de un déficit elevado, se registran tasas de paro superiores al 20%. </w:t>
      </w:r>
      <w:r w:rsidRPr="00837D7C">
        <w:rPr>
          <w:rFonts w:cs="Arial"/>
          <w:b/>
          <w:sz w:val="19"/>
          <w:szCs w:val="19"/>
        </w:rPr>
        <w:t>Los ajustes a realizar en el gasto público en estas regiones previsiblemente empeoren una situación de partida ya de por sí muy complicada en el mercado de trabajo</w:t>
      </w:r>
      <w:r>
        <w:rPr>
          <w:rFonts w:cs="Arial"/>
          <w:sz w:val="19"/>
          <w:szCs w:val="19"/>
        </w:rPr>
        <w:t xml:space="preserve">, tanto por el impacto que estas medidas tendrán sobre los empleos públicos como por </w:t>
      </w:r>
      <w:r w:rsidR="00837D7C">
        <w:rPr>
          <w:rFonts w:cs="Arial"/>
          <w:sz w:val="19"/>
          <w:szCs w:val="19"/>
        </w:rPr>
        <w:t xml:space="preserve">la incidencia en el empleo de las principales </w:t>
      </w:r>
      <w:r w:rsidR="0040125C">
        <w:rPr>
          <w:rFonts w:cs="Arial"/>
          <w:sz w:val="19"/>
          <w:szCs w:val="19"/>
        </w:rPr>
        <w:t>suministradoras</w:t>
      </w:r>
      <w:r w:rsidR="00837D7C">
        <w:rPr>
          <w:rFonts w:cs="Arial"/>
          <w:sz w:val="19"/>
          <w:szCs w:val="19"/>
        </w:rPr>
        <w:t xml:space="preserve"> de bienes y servicios de sus Administraciones regionales y locales.</w:t>
      </w:r>
    </w:p>
    <w:p w:rsidR="007F3E10" w:rsidRDefault="007F3E10" w:rsidP="007F3E10">
      <w:pPr>
        <w:keepNext/>
        <w:jc w:val="both"/>
        <w:rPr>
          <w:rFonts w:cs="Arial"/>
          <w:sz w:val="19"/>
          <w:szCs w:val="19"/>
        </w:rPr>
      </w:pPr>
    </w:p>
    <w:p w:rsidR="007F3E10" w:rsidRDefault="00837D7C" w:rsidP="007F3E10">
      <w:pPr>
        <w:keepNext/>
        <w:jc w:val="both"/>
        <w:rPr>
          <w:rFonts w:cs="Arial"/>
          <w:sz w:val="19"/>
          <w:szCs w:val="19"/>
        </w:rPr>
      </w:pPr>
      <w:r>
        <w:rPr>
          <w:rFonts w:cs="Arial"/>
          <w:sz w:val="19"/>
          <w:szCs w:val="19"/>
        </w:rPr>
        <w:t>En el lado opuesto</w:t>
      </w:r>
      <w:r w:rsidR="007F3E10" w:rsidRPr="007F3E10">
        <w:rPr>
          <w:rFonts w:cs="Arial"/>
          <w:sz w:val="19"/>
          <w:szCs w:val="19"/>
        </w:rPr>
        <w:t>, las Comunidades Autónomas que cumplieron con el objetivo de déficit fueron Madrid, Extremadura, País Vasco, Canarias, Galicia, Castilla y León, Cantabria y Asturias.</w:t>
      </w:r>
    </w:p>
    <w:p w:rsidR="002748D3" w:rsidRDefault="002748D3" w:rsidP="00662377">
      <w:pPr>
        <w:ind w:right="-81"/>
        <w:jc w:val="both"/>
        <w:rPr>
          <w:rFonts w:cs="Arial"/>
          <w:b/>
          <w:color w:val="000080"/>
          <w:sz w:val="19"/>
          <w:szCs w:val="19"/>
          <w:u w:val="single"/>
        </w:rPr>
      </w:pPr>
    </w:p>
    <w:p w:rsidR="002748D3" w:rsidRDefault="003F199C" w:rsidP="002748D3">
      <w:pPr>
        <w:ind w:right="-81"/>
        <w:jc w:val="both"/>
        <w:rPr>
          <w:rFonts w:cs="Arial"/>
          <w:b/>
          <w:color w:val="000080"/>
          <w:sz w:val="19"/>
          <w:szCs w:val="19"/>
          <w:u w:val="single"/>
        </w:rPr>
      </w:pPr>
      <w:r w:rsidRPr="003F199C">
        <w:rPr>
          <w:rFonts w:cs="Arial"/>
          <w:b/>
          <w:color w:val="000080"/>
          <w:sz w:val="19"/>
          <w:szCs w:val="19"/>
          <w:u w:val="single"/>
        </w:rPr>
        <w:t>Comunidad Valenciana, Castilla La Mancha y Cataluña son las CCAA con mayores niveles de deuda pública</w:t>
      </w:r>
      <w:r>
        <w:rPr>
          <w:rFonts w:cs="Arial"/>
          <w:b/>
          <w:color w:val="000080"/>
          <w:sz w:val="19"/>
          <w:szCs w:val="19"/>
          <w:u w:val="single"/>
        </w:rPr>
        <w:t>; Asturias, País Vasco y Madrid las que menos</w:t>
      </w:r>
    </w:p>
    <w:p w:rsidR="00F20AC7" w:rsidRPr="00F20AC7" w:rsidRDefault="00F20AC7" w:rsidP="002748D3">
      <w:pPr>
        <w:ind w:right="-81"/>
        <w:jc w:val="both"/>
        <w:rPr>
          <w:rFonts w:cs="Arial"/>
          <w:b/>
          <w:color w:val="000080"/>
          <w:sz w:val="10"/>
          <w:szCs w:val="10"/>
          <w:u w:val="single"/>
        </w:rPr>
      </w:pPr>
    </w:p>
    <w:p w:rsidR="00076A79" w:rsidRDefault="00076A79" w:rsidP="00310B31">
      <w:pPr>
        <w:keepNext/>
        <w:jc w:val="both"/>
        <w:rPr>
          <w:rFonts w:cs="Arial"/>
          <w:sz w:val="19"/>
          <w:szCs w:val="19"/>
        </w:rPr>
      </w:pPr>
      <w:r w:rsidRPr="00B954C5">
        <w:rPr>
          <w:rFonts w:cs="Arial"/>
          <w:b/>
          <w:sz w:val="19"/>
          <w:szCs w:val="19"/>
        </w:rPr>
        <w:t>Existen importantes diferencias en los niveles de deuda regional</w:t>
      </w:r>
      <w:r w:rsidRPr="00076A79">
        <w:rPr>
          <w:rFonts w:cs="Arial"/>
          <w:sz w:val="19"/>
          <w:szCs w:val="19"/>
        </w:rPr>
        <w:t xml:space="preserve"> en términos de crecimiento. Las comunidades con </w:t>
      </w:r>
      <w:r w:rsidRPr="00B954C5">
        <w:rPr>
          <w:rFonts w:cs="Arial"/>
          <w:b/>
          <w:sz w:val="19"/>
          <w:szCs w:val="19"/>
        </w:rPr>
        <w:t>mayor deuda pública</w:t>
      </w:r>
      <w:r w:rsidRPr="00076A79">
        <w:rPr>
          <w:rFonts w:cs="Arial"/>
          <w:sz w:val="19"/>
          <w:szCs w:val="19"/>
        </w:rPr>
        <w:t xml:space="preserve"> respecto a su PIB regional a marzo de 2011 son </w:t>
      </w:r>
      <w:r w:rsidRPr="00B954C5">
        <w:rPr>
          <w:rFonts w:cs="Arial"/>
          <w:b/>
          <w:sz w:val="19"/>
          <w:szCs w:val="19"/>
        </w:rPr>
        <w:t>Comunidad Valenciana</w:t>
      </w:r>
      <w:r w:rsidRPr="00076A79">
        <w:rPr>
          <w:rFonts w:cs="Arial"/>
          <w:sz w:val="19"/>
          <w:szCs w:val="19"/>
        </w:rPr>
        <w:t xml:space="preserve"> (17,4%), </w:t>
      </w:r>
      <w:r w:rsidRPr="00B954C5">
        <w:rPr>
          <w:rFonts w:cs="Arial"/>
          <w:b/>
          <w:sz w:val="19"/>
          <w:szCs w:val="19"/>
        </w:rPr>
        <w:t>Castilla – La Mancha</w:t>
      </w:r>
      <w:r w:rsidRPr="00076A79">
        <w:rPr>
          <w:rFonts w:cs="Arial"/>
          <w:sz w:val="19"/>
          <w:szCs w:val="19"/>
        </w:rPr>
        <w:t xml:space="preserve"> (16,9%) y </w:t>
      </w:r>
      <w:r w:rsidRPr="00B954C5">
        <w:rPr>
          <w:rFonts w:cs="Arial"/>
          <w:b/>
          <w:sz w:val="19"/>
          <w:szCs w:val="19"/>
        </w:rPr>
        <w:t xml:space="preserve">Cataluña </w:t>
      </w:r>
      <w:r w:rsidRPr="00076A79">
        <w:rPr>
          <w:rFonts w:cs="Arial"/>
          <w:sz w:val="19"/>
          <w:szCs w:val="19"/>
        </w:rPr>
        <w:t xml:space="preserve">(17,2%). Las tres han presentado importantes déficit presupuestarios en 2010. </w:t>
      </w:r>
      <w:r w:rsidR="00310B31">
        <w:rPr>
          <w:rFonts w:cs="Arial"/>
          <w:sz w:val="19"/>
          <w:szCs w:val="19"/>
        </w:rPr>
        <w:t xml:space="preserve"> </w:t>
      </w:r>
    </w:p>
    <w:p w:rsidR="00076A79" w:rsidRPr="00076A79" w:rsidRDefault="00076A79" w:rsidP="00076A79">
      <w:pPr>
        <w:keepNext/>
        <w:jc w:val="both"/>
        <w:rPr>
          <w:rFonts w:cs="Arial"/>
          <w:sz w:val="19"/>
          <w:szCs w:val="19"/>
        </w:rPr>
      </w:pPr>
    </w:p>
    <w:p w:rsidR="00076A79" w:rsidRPr="00310B31" w:rsidRDefault="00310B31" w:rsidP="00076A79">
      <w:pPr>
        <w:keepNext/>
        <w:jc w:val="both"/>
        <w:rPr>
          <w:rFonts w:cs="Arial"/>
          <w:sz w:val="19"/>
          <w:szCs w:val="19"/>
        </w:rPr>
      </w:pPr>
      <w:r w:rsidRPr="00310B31">
        <w:rPr>
          <w:rFonts w:cs="Arial"/>
          <w:b/>
          <w:sz w:val="19"/>
          <w:szCs w:val="19"/>
        </w:rPr>
        <w:t>La actual situación en los mercados financieros dificulta la cobertura de las necesidades de endeudamiento</w:t>
      </w:r>
      <w:r w:rsidRPr="00310B31">
        <w:rPr>
          <w:rFonts w:cs="Arial"/>
          <w:sz w:val="19"/>
          <w:szCs w:val="19"/>
        </w:rPr>
        <w:t xml:space="preserve">, penalizando en mayor medida al riesgo España, ante </w:t>
      </w:r>
      <w:r w:rsidRPr="00310B31">
        <w:rPr>
          <w:rFonts w:cs="Arial"/>
          <w:sz w:val="19"/>
          <w:szCs w:val="19"/>
        </w:rPr>
        <w:lastRenderedPageBreak/>
        <w:t xml:space="preserve">las dudas sobre la capacidad del cumplimiento de los compromisos fiscales por parte de las autonomías. Con ello, </w:t>
      </w:r>
      <w:r w:rsidRPr="00310B31">
        <w:rPr>
          <w:rFonts w:cs="Arial"/>
          <w:b/>
          <w:sz w:val="19"/>
          <w:szCs w:val="19"/>
        </w:rPr>
        <w:t xml:space="preserve">las condiciones de la financiación se han endurecido, tanto en términos de plazo como de coste en tipos de interés </w:t>
      </w:r>
      <w:r w:rsidRPr="00310B31">
        <w:rPr>
          <w:rFonts w:cs="Arial"/>
          <w:sz w:val="19"/>
          <w:szCs w:val="19"/>
        </w:rPr>
        <w:t>respecto</w:t>
      </w:r>
      <w:r w:rsidRPr="00310B31">
        <w:rPr>
          <w:rFonts w:cs="Arial"/>
          <w:b/>
          <w:sz w:val="19"/>
          <w:szCs w:val="19"/>
        </w:rPr>
        <w:t xml:space="preserve"> </w:t>
      </w:r>
      <w:r w:rsidRPr="00310B31">
        <w:rPr>
          <w:rFonts w:cs="Arial"/>
          <w:sz w:val="19"/>
          <w:szCs w:val="19"/>
        </w:rPr>
        <w:t>a las de pasados ejercicios</w:t>
      </w:r>
    </w:p>
    <w:p w:rsidR="00076A79" w:rsidRPr="00076A79" w:rsidRDefault="00076A79" w:rsidP="00076A79">
      <w:pPr>
        <w:keepNext/>
        <w:jc w:val="both"/>
        <w:rPr>
          <w:rFonts w:cs="Arial"/>
          <w:sz w:val="19"/>
          <w:szCs w:val="19"/>
        </w:rPr>
      </w:pPr>
    </w:p>
    <w:p w:rsidR="00076A79" w:rsidRDefault="00076A79" w:rsidP="00076A79">
      <w:pPr>
        <w:ind w:right="-81"/>
        <w:jc w:val="both"/>
        <w:rPr>
          <w:rFonts w:cs="Arial"/>
          <w:sz w:val="19"/>
          <w:szCs w:val="19"/>
        </w:rPr>
      </w:pPr>
      <w:r w:rsidRPr="00076A79">
        <w:rPr>
          <w:rFonts w:cs="Arial"/>
          <w:sz w:val="19"/>
          <w:szCs w:val="19"/>
        </w:rPr>
        <w:t xml:space="preserve">Todo ello supone una </w:t>
      </w:r>
      <w:r w:rsidRPr="00B954C5">
        <w:rPr>
          <w:rFonts w:cs="Arial"/>
          <w:b/>
          <w:sz w:val="19"/>
          <w:szCs w:val="19"/>
        </w:rPr>
        <w:t>presión añadida sobre la necesidad de reducción de déficits</w:t>
      </w:r>
      <w:r w:rsidRPr="00076A79">
        <w:rPr>
          <w:rFonts w:cs="Arial"/>
          <w:sz w:val="19"/>
          <w:szCs w:val="19"/>
        </w:rPr>
        <w:t xml:space="preserve"> y por lo tanto, </w:t>
      </w:r>
      <w:r w:rsidRPr="00B954C5">
        <w:rPr>
          <w:rFonts w:cs="Arial"/>
          <w:b/>
          <w:sz w:val="19"/>
          <w:szCs w:val="19"/>
        </w:rPr>
        <w:t>puede afectar en mayor medida sobre la actividad y el mercado de trabajo de las regiones con mayor deuda y niveles de déficit público más elevados</w:t>
      </w:r>
      <w:r w:rsidRPr="00076A79">
        <w:rPr>
          <w:rFonts w:cs="Arial"/>
          <w:sz w:val="19"/>
          <w:szCs w:val="19"/>
        </w:rPr>
        <w:t>.</w:t>
      </w:r>
      <w:r>
        <w:rPr>
          <w:rFonts w:cs="Arial"/>
          <w:sz w:val="19"/>
          <w:szCs w:val="19"/>
        </w:rPr>
        <w:t xml:space="preserve"> En este sentido, se presenta </w:t>
      </w:r>
      <w:r w:rsidRPr="00B954C5">
        <w:rPr>
          <w:rFonts w:cs="Arial"/>
          <w:b/>
          <w:sz w:val="19"/>
          <w:szCs w:val="19"/>
        </w:rPr>
        <w:t>especialmente complicada</w:t>
      </w:r>
      <w:r>
        <w:rPr>
          <w:rFonts w:cs="Arial"/>
          <w:sz w:val="19"/>
          <w:szCs w:val="19"/>
        </w:rPr>
        <w:t xml:space="preserve"> la situación en las </w:t>
      </w:r>
      <w:r w:rsidRPr="00B954C5">
        <w:rPr>
          <w:rFonts w:cs="Arial"/>
          <w:b/>
          <w:sz w:val="19"/>
          <w:szCs w:val="19"/>
        </w:rPr>
        <w:t xml:space="preserve">regiones del Este </w:t>
      </w:r>
      <w:r w:rsidR="00B954C5" w:rsidRPr="00B954C5">
        <w:rPr>
          <w:rFonts w:cs="Arial"/>
          <w:b/>
          <w:sz w:val="19"/>
          <w:szCs w:val="19"/>
        </w:rPr>
        <w:t>peninsular</w:t>
      </w:r>
      <w:r>
        <w:rPr>
          <w:rFonts w:cs="Arial"/>
          <w:sz w:val="19"/>
          <w:szCs w:val="19"/>
        </w:rPr>
        <w:t xml:space="preserve">, con elevados niveles de déficit público, deuda pública y con altos </w:t>
      </w:r>
      <w:r w:rsidR="00B954C5">
        <w:rPr>
          <w:rFonts w:cs="Arial"/>
          <w:sz w:val="19"/>
          <w:szCs w:val="19"/>
        </w:rPr>
        <w:t>niveles</w:t>
      </w:r>
      <w:r>
        <w:rPr>
          <w:rFonts w:cs="Arial"/>
          <w:sz w:val="19"/>
          <w:szCs w:val="19"/>
        </w:rPr>
        <w:t xml:space="preserve"> en su tasa de desempleo.</w:t>
      </w:r>
    </w:p>
    <w:p w:rsidR="00076A79" w:rsidRDefault="00076A79" w:rsidP="00076A79">
      <w:pPr>
        <w:ind w:right="-81"/>
        <w:jc w:val="both"/>
        <w:rPr>
          <w:rFonts w:cs="Arial"/>
          <w:sz w:val="19"/>
          <w:szCs w:val="19"/>
        </w:rPr>
      </w:pPr>
    </w:p>
    <w:p w:rsidR="00076A79" w:rsidRDefault="00076A79" w:rsidP="00076A79">
      <w:pPr>
        <w:ind w:right="-81"/>
        <w:jc w:val="both"/>
        <w:rPr>
          <w:rFonts w:cs="Arial"/>
          <w:sz w:val="19"/>
          <w:szCs w:val="19"/>
        </w:rPr>
      </w:pPr>
      <w:r w:rsidRPr="00076A79">
        <w:rPr>
          <w:rFonts w:cs="Arial"/>
          <w:sz w:val="19"/>
          <w:szCs w:val="19"/>
        </w:rPr>
        <w:t xml:space="preserve">Por otro lado, las que registran una </w:t>
      </w:r>
      <w:r w:rsidRPr="001145AF">
        <w:rPr>
          <w:rFonts w:cs="Arial"/>
          <w:b/>
          <w:sz w:val="19"/>
          <w:szCs w:val="19"/>
        </w:rPr>
        <w:t>menor ratio</w:t>
      </w:r>
      <w:r w:rsidRPr="00076A79">
        <w:rPr>
          <w:rFonts w:cs="Arial"/>
          <w:sz w:val="19"/>
          <w:szCs w:val="19"/>
        </w:rPr>
        <w:t xml:space="preserve"> </w:t>
      </w:r>
      <w:r>
        <w:rPr>
          <w:rFonts w:cs="Arial"/>
          <w:sz w:val="19"/>
          <w:szCs w:val="19"/>
        </w:rPr>
        <w:t>son</w:t>
      </w:r>
      <w:r w:rsidRPr="00076A79">
        <w:rPr>
          <w:rFonts w:cs="Arial"/>
          <w:sz w:val="19"/>
          <w:szCs w:val="19"/>
        </w:rPr>
        <w:t xml:space="preserve"> </w:t>
      </w:r>
      <w:r w:rsidRPr="001145AF">
        <w:rPr>
          <w:rFonts w:cs="Arial"/>
          <w:b/>
          <w:sz w:val="19"/>
          <w:szCs w:val="19"/>
        </w:rPr>
        <w:t>Asturias</w:t>
      </w:r>
      <w:r w:rsidRPr="00076A79">
        <w:rPr>
          <w:rFonts w:cs="Arial"/>
          <w:sz w:val="19"/>
          <w:szCs w:val="19"/>
        </w:rPr>
        <w:t xml:space="preserve"> (7,1%), </w:t>
      </w:r>
      <w:r w:rsidRPr="001145AF">
        <w:rPr>
          <w:rFonts w:cs="Arial"/>
          <w:b/>
          <w:sz w:val="19"/>
          <w:szCs w:val="19"/>
        </w:rPr>
        <w:t>País Vasco</w:t>
      </w:r>
      <w:r w:rsidRPr="00076A79">
        <w:rPr>
          <w:rFonts w:cs="Arial"/>
          <w:sz w:val="19"/>
          <w:szCs w:val="19"/>
        </w:rPr>
        <w:t xml:space="preserve"> (7,3%) y </w:t>
      </w:r>
      <w:r w:rsidRPr="001145AF">
        <w:rPr>
          <w:rFonts w:cs="Arial"/>
          <w:b/>
          <w:sz w:val="19"/>
          <w:szCs w:val="19"/>
        </w:rPr>
        <w:t>Madrid</w:t>
      </w:r>
      <w:r w:rsidRPr="00076A79">
        <w:rPr>
          <w:rFonts w:cs="Arial"/>
          <w:sz w:val="19"/>
          <w:szCs w:val="19"/>
        </w:rPr>
        <w:t xml:space="preserve"> (7,4%). </w:t>
      </w:r>
    </w:p>
    <w:p w:rsidR="003F199C" w:rsidRDefault="003F199C" w:rsidP="00662377">
      <w:pPr>
        <w:ind w:right="-81"/>
        <w:jc w:val="both"/>
        <w:rPr>
          <w:rFonts w:cs="Arial"/>
          <w:sz w:val="19"/>
          <w:szCs w:val="19"/>
        </w:rPr>
      </w:pPr>
    </w:p>
    <w:p w:rsidR="003F199C" w:rsidRPr="00662377" w:rsidRDefault="003F199C" w:rsidP="00662377">
      <w:pPr>
        <w:ind w:right="-81"/>
        <w:jc w:val="both"/>
        <w:rPr>
          <w:rFonts w:cs="Arial"/>
          <w:sz w:val="19"/>
          <w:szCs w:val="19"/>
        </w:rPr>
      </w:pPr>
    </w:p>
    <w:p w:rsidR="00662377" w:rsidRDefault="00662377" w:rsidP="00662377">
      <w:pPr>
        <w:pStyle w:val="Sangradetextonormal"/>
        <w:ind w:left="0"/>
        <w:jc w:val="center"/>
        <w:rPr>
          <w:i/>
          <w:color w:val="CC0000"/>
          <w:sz w:val="12"/>
          <w:szCs w:val="12"/>
          <w:u w:val="single"/>
        </w:rPr>
      </w:pPr>
    </w:p>
    <w:p w:rsidR="00662377" w:rsidRPr="00303519" w:rsidRDefault="00662377" w:rsidP="00662377">
      <w:pPr>
        <w:pStyle w:val="Sangradetextonormal"/>
        <w:ind w:left="0"/>
        <w:jc w:val="center"/>
        <w:rPr>
          <w:i/>
          <w:color w:val="CC0000"/>
          <w:sz w:val="12"/>
          <w:szCs w:val="12"/>
          <w:u w:val="single"/>
        </w:rPr>
      </w:pPr>
    </w:p>
    <w:p w:rsidR="00662377" w:rsidRPr="00551825" w:rsidRDefault="00662377" w:rsidP="00662377">
      <w:pPr>
        <w:pStyle w:val="Sangradetextonormal"/>
        <w:ind w:left="0"/>
        <w:jc w:val="center"/>
        <w:rPr>
          <w:i/>
          <w:color w:val="CC0000"/>
          <w:sz w:val="19"/>
          <w:szCs w:val="19"/>
          <w:u w:val="single"/>
        </w:rPr>
      </w:pPr>
      <w:r w:rsidRPr="00551825">
        <w:rPr>
          <w:i/>
          <w:color w:val="CC0000"/>
          <w:sz w:val="19"/>
          <w:szCs w:val="19"/>
          <w:u w:val="single"/>
        </w:rPr>
        <w:t>Destacado del mes, por José Antonio Herce, Socio de Afi</w:t>
      </w:r>
    </w:p>
    <w:p w:rsidR="00662377" w:rsidRPr="00790DA3" w:rsidRDefault="00662377" w:rsidP="00662377">
      <w:pPr>
        <w:pStyle w:val="Sangradetextonormal"/>
        <w:ind w:left="0"/>
        <w:jc w:val="center"/>
        <w:rPr>
          <w:b w:val="0"/>
          <w:color w:val="CC0000"/>
          <w:sz w:val="12"/>
          <w:szCs w:val="12"/>
        </w:rPr>
      </w:pPr>
    </w:p>
    <w:p w:rsidR="00662377" w:rsidRPr="00551825" w:rsidRDefault="00A55663" w:rsidP="00662377">
      <w:pPr>
        <w:pStyle w:val="Sangradetextonormal"/>
        <w:ind w:left="0"/>
        <w:jc w:val="center"/>
        <w:rPr>
          <w:color w:val="CC0000"/>
          <w:sz w:val="19"/>
          <w:szCs w:val="19"/>
        </w:rPr>
      </w:pPr>
      <w:r>
        <w:rPr>
          <w:color w:val="CC0000"/>
          <w:sz w:val="19"/>
          <w:szCs w:val="19"/>
        </w:rPr>
        <w:t>Los jóvenes primero</w:t>
      </w:r>
    </w:p>
    <w:p w:rsidR="00662377" w:rsidRPr="00790DA3" w:rsidRDefault="00662377" w:rsidP="00662377">
      <w:pPr>
        <w:pStyle w:val="Sangradetextonormal"/>
        <w:ind w:left="0"/>
        <w:jc w:val="center"/>
        <w:rPr>
          <w:i/>
          <w:color w:val="CC0000"/>
          <w:sz w:val="12"/>
          <w:szCs w:val="12"/>
          <w:u w:val="single"/>
        </w:rPr>
      </w:pPr>
    </w:p>
    <w:p w:rsidR="00662377" w:rsidRPr="00790DA3" w:rsidRDefault="00662377" w:rsidP="00662377">
      <w:pPr>
        <w:autoSpaceDE w:val="0"/>
        <w:autoSpaceDN w:val="0"/>
        <w:adjustRightInd w:val="0"/>
        <w:jc w:val="both"/>
        <w:rPr>
          <w:rFonts w:cs="ArialMT-Bold"/>
          <w:b/>
          <w:bCs/>
          <w:i/>
          <w:color w:val="231F20"/>
          <w:sz w:val="18"/>
          <w:szCs w:val="18"/>
        </w:rPr>
      </w:pPr>
      <w:r w:rsidRPr="00790DA3">
        <w:rPr>
          <w:rFonts w:cs="Arial"/>
          <w:b/>
          <w:bCs/>
          <w:i/>
          <w:sz w:val="18"/>
          <w:szCs w:val="18"/>
        </w:rPr>
        <w:t>“</w:t>
      </w:r>
      <w:r w:rsidRPr="00790DA3">
        <w:rPr>
          <w:b/>
          <w:i/>
          <w:sz w:val="18"/>
          <w:szCs w:val="18"/>
        </w:rPr>
        <w:t>…</w:t>
      </w:r>
      <w:r w:rsidR="00A55663" w:rsidRPr="00A55663">
        <w:rPr>
          <w:rFonts w:ascii="Swis721 BT" w:hAnsi="Swis721 BT"/>
          <w:i/>
          <w:sz w:val="20"/>
          <w:szCs w:val="20"/>
        </w:rPr>
        <w:t>El gobierno ha establecido hace poco con el RDL 11/2011 una importante distinción: entre los jóvenes que carecen de formación profesional y el resto de parados</w:t>
      </w:r>
      <w:r w:rsidRPr="00A55663">
        <w:rPr>
          <w:rFonts w:eastAsia="Calibri"/>
          <w:i/>
          <w:sz w:val="18"/>
          <w:szCs w:val="18"/>
          <w:lang w:eastAsia="en-US"/>
        </w:rPr>
        <w:t>.</w:t>
      </w:r>
      <w:r w:rsidR="00A55663" w:rsidRPr="00A55663">
        <w:rPr>
          <w:rFonts w:eastAsia="Calibri"/>
          <w:i/>
          <w:sz w:val="18"/>
          <w:szCs w:val="18"/>
          <w:lang w:eastAsia="en-US"/>
        </w:rPr>
        <w:t xml:space="preserve"> (…)</w:t>
      </w:r>
      <w:r w:rsidR="00A55663" w:rsidRPr="00A55663">
        <w:rPr>
          <w:rFonts w:ascii="Swis721 BT" w:hAnsi="Swis721 BT"/>
          <w:i/>
          <w:sz w:val="20"/>
          <w:szCs w:val="20"/>
        </w:rPr>
        <w:t>Si lográsemos dar un paso más allá de este esquema, pensando en los parados de entre 25 y 45 años, con una jornada reducida a la mitad de la ordinaria y un salario al 50%, compatible con las prestaciones por desempleo igualmente reducidas (a cambio de formación más intensiva), sin más incentivos ni discriminaciones positivas o negativas, a lo mejor metíamos en el copo del empleo a muchos más trabajadores</w:t>
      </w:r>
      <w:r w:rsidRPr="00A55663">
        <w:rPr>
          <w:i/>
          <w:sz w:val="18"/>
          <w:szCs w:val="18"/>
        </w:rPr>
        <w:t>...</w:t>
      </w:r>
      <w:r w:rsidRPr="00A55663">
        <w:rPr>
          <w:b/>
          <w:i/>
          <w:sz w:val="18"/>
          <w:szCs w:val="18"/>
        </w:rPr>
        <w:t>”</w:t>
      </w:r>
    </w:p>
    <w:p w:rsidR="00662377" w:rsidRDefault="00662377" w:rsidP="00662377">
      <w:pPr>
        <w:autoSpaceDE w:val="0"/>
        <w:autoSpaceDN w:val="0"/>
        <w:adjustRightInd w:val="0"/>
        <w:ind w:right="279"/>
        <w:rPr>
          <w:rFonts w:cs="Arial"/>
          <w:b/>
          <w:bCs/>
          <w:color w:val="999999"/>
          <w:sz w:val="19"/>
          <w:szCs w:val="19"/>
          <w:u w:val="single"/>
        </w:rPr>
      </w:pPr>
    </w:p>
    <w:p w:rsidR="00A55663" w:rsidRDefault="00A55663" w:rsidP="00662377">
      <w:pPr>
        <w:autoSpaceDE w:val="0"/>
        <w:autoSpaceDN w:val="0"/>
        <w:adjustRightInd w:val="0"/>
        <w:ind w:right="279"/>
        <w:rPr>
          <w:rFonts w:cs="Arial"/>
          <w:b/>
          <w:bCs/>
          <w:color w:val="999999"/>
          <w:sz w:val="19"/>
          <w:szCs w:val="19"/>
          <w:u w:val="single"/>
        </w:rPr>
      </w:pPr>
    </w:p>
    <w:p w:rsidR="00A55663" w:rsidRDefault="00A55663" w:rsidP="00662377">
      <w:pPr>
        <w:autoSpaceDE w:val="0"/>
        <w:autoSpaceDN w:val="0"/>
        <w:adjustRightInd w:val="0"/>
        <w:ind w:right="279"/>
        <w:rPr>
          <w:rFonts w:cs="Arial"/>
          <w:b/>
          <w:bCs/>
          <w:color w:val="999999"/>
          <w:sz w:val="19"/>
          <w:szCs w:val="19"/>
          <w:u w:val="single"/>
        </w:rPr>
      </w:pPr>
    </w:p>
    <w:p w:rsidR="00A55663" w:rsidRPr="007758FC" w:rsidRDefault="00A55663" w:rsidP="00A55663">
      <w:pPr>
        <w:autoSpaceDE w:val="0"/>
        <w:autoSpaceDN w:val="0"/>
        <w:adjustRightInd w:val="0"/>
        <w:ind w:right="279"/>
        <w:rPr>
          <w:rFonts w:cs="Arial"/>
          <w:b/>
          <w:bCs/>
          <w:color w:val="999999"/>
          <w:sz w:val="18"/>
          <w:szCs w:val="18"/>
          <w:u w:val="single"/>
        </w:rPr>
      </w:pPr>
      <w:r w:rsidRPr="007758FC">
        <w:rPr>
          <w:rFonts w:cs="Arial"/>
          <w:b/>
          <w:bCs/>
          <w:color w:val="999999"/>
          <w:sz w:val="18"/>
          <w:szCs w:val="18"/>
          <w:u w:val="single"/>
        </w:rPr>
        <w:t>Para más información:</w:t>
      </w:r>
    </w:p>
    <w:p w:rsidR="00A55663" w:rsidRPr="007758FC" w:rsidRDefault="00A55663" w:rsidP="00A55663">
      <w:pPr>
        <w:autoSpaceDE w:val="0"/>
        <w:autoSpaceDN w:val="0"/>
        <w:adjustRightInd w:val="0"/>
        <w:ind w:right="279"/>
        <w:rPr>
          <w:rFonts w:cs="Arial"/>
          <w:b/>
          <w:bCs/>
          <w:color w:val="999999"/>
          <w:sz w:val="18"/>
          <w:szCs w:val="18"/>
        </w:rPr>
      </w:pPr>
      <w:r w:rsidRPr="007758FC">
        <w:rPr>
          <w:rFonts w:cs="Arial"/>
          <w:b/>
          <w:bCs/>
          <w:color w:val="999999"/>
          <w:sz w:val="18"/>
          <w:szCs w:val="18"/>
        </w:rPr>
        <w:t>Leire HURTADO</w:t>
      </w:r>
    </w:p>
    <w:p w:rsidR="00A55663" w:rsidRPr="007758FC" w:rsidRDefault="00A55663" w:rsidP="00A55663">
      <w:pPr>
        <w:autoSpaceDE w:val="0"/>
        <w:autoSpaceDN w:val="0"/>
        <w:adjustRightInd w:val="0"/>
        <w:ind w:right="279"/>
        <w:rPr>
          <w:rFonts w:cs="Arial"/>
          <w:b/>
          <w:bCs/>
          <w:color w:val="999999"/>
          <w:sz w:val="18"/>
          <w:szCs w:val="18"/>
        </w:rPr>
      </w:pPr>
      <w:r w:rsidRPr="007758FC">
        <w:rPr>
          <w:rFonts w:cs="Arial"/>
          <w:b/>
          <w:bCs/>
          <w:color w:val="999999"/>
          <w:sz w:val="18"/>
          <w:szCs w:val="18"/>
        </w:rPr>
        <w:t>Jefa de Prensa</w:t>
      </w:r>
    </w:p>
    <w:p w:rsidR="00A55663" w:rsidRPr="007758FC" w:rsidRDefault="00A55663" w:rsidP="00A55663">
      <w:pPr>
        <w:autoSpaceDE w:val="0"/>
        <w:autoSpaceDN w:val="0"/>
        <w:adjustRightInd w:val="0"/>
        <w:ind w:right="279"/>
        <w:rPr>
          <w:rFonts w:cs="Arial"/>
          <w:b/>
          <w:color w:val="999999"/>
          <w:sz w:val="18"/>
          <w:szCs w:val="18"/>
        </w:rPr>
      </w:pPr>
      <w:r w:rsidRPr="007758FC">
        <w:rPr>
          <w:rFonts w:cs="Arial"/>
          <w:b/>
          <w:color w:val="999999"/>
          <w:sz w:val="18"/>
          <w:szCs w:val="18"/>
        </w:rPr>
        <w:t xml:space="preserve">ASOCIACIÓN DE GRANDES </w:t>
      </w:r>
    </w:p>
    <w:p w:rsidR="00A55663" w:rsidRPr="007758FC" w:rsidRDefault="00A55663" w:rsidP="00A55663">
      <w:pPr>
        <w:autoSpaceDE w:val="0"/>
        <w:autoSpaceDN w:val="0"/>
        <w:adjustRightInd w:val="0"/>
        <w:ind w:right="279"/>
        <w:rPr>
          <w:rFonts w:cs="Arial"/>
          <w:b/>
          <w:color w:val="999999"/>
          <w:sz w:val="18"/>
          <w:szCs w:val="18"/>
        </w:rPr>
      </w:pPr>
      <w:r w:rsidRPr="007758FC">
        <w:rPr>
          <w:rFonts w:cs="Arial"/>
          <w:b/>
          <w:color w:val="999999"/>
          <w:sz w:val="18"/>
          <w:szCs w:val="18"/>
        </w:rPr>
        <w:t>EMPRESAS DE TRABAJO TEMPORAL  (AGETT)</w:t>
      </w:r>
    </w:p>
    <w:p w:rsidR="00A55663" w:rsidRPr="007758FC" w:rsidRDefault="00A55663" w:rsidP="00A55663">
      <w:pPr>
        <w:autoSpaceDE w:val="0"/>
        <w:autoSpaceDN w:val="0"/>
        <w:adjustRightInd w:val="0"/>
        <w:ind w:right="279"/>
        <w:rPr>
          <w:rFonts w:cs="Arial"/>
          <w:b/>
          <w:bCs/>
          <w:color w:val="999999"/>
          <w:sz w:val="18"/>
          <w:szCs w:val="18"/>
          <w:lang w:val="en-GB"/>
        </w:rPr>
      </w:pPr>
      <w:r w:rsidRPr="007758FC">
        <w:rPr>
          <w:rFonts w:cs="Arial"/>
          <w:b/>
          <w:color w:val="999999"/>
          <w:sz w:val="18"/>
          <w:szCs w:val="18"/>
          <w:lang w:val="en-US"/>
        </w:rPr>
        <w:t xml:space="preserve">Tlf: 91 598 06 </w:t>
      </w:r>
      <w:r w:rsidRPr="007758FC">
        <w:rPr>
          <w:rFonts w:cs="Arial"/>
          <w:b/>
          <w:color w:val="999999"/>
          <w:sz w:val="18"/>
          <w:szCs w:val="18"/>
          <w:lang w:val="en-GB"/>
        </w:rPr>
        <w:t>74</w:t>
      </w:r>
      <w:r w:rsidRPr="007758FC">
        <w:rPr>
          <w:rFonts w:cs="Arial"/>
          <w:b/>
          <w:bCs/>
          <w:color w:val="999999"/>
          <w:sz w:val="18"/>
          <w:szCs w:val="18"/>
          <w:lang w:val="en-GB"/>
        </w:rPr>
        <w:t xml:space="preserve"> - Móvil: 689054875</w:t>
      </w:r>
    </w:p>
    <w:p w:rsidR="00A55663" w:rsidRPr="007758FC" w:rsidRDefault="00A55663" w:rsidP="00A55663">
      <w:pPr>
        <w:autoSpaceDE w:val="0"/>
        <w:autoSpaceDN w:val="0"/>
        <w:adjustRightInd w:val="0"/>
        <w:ind w:right="279"/>
        <w:jc w:val="both"/>
        <w:rPr>
          <w:sz w:val="18"/>
          <w:szCs w:val="18"/>
        </w:rPr>
      </w:pPr>
      <w:r w:rsidRPr="007758FC">
        <w:rPr>
          <w:rFonts w:cs="Arial"/>
          <w:b/>
          <w:bCs/>
          <w:color w:val="999999"/>
          <w:sz w:val="18"/>
          <w:szCs w:val="18"/>
          <w:lang w:val="en-GB"/>
        </w:rPr>
        <w:t>lhurtado@agett.com</w:t>
      </w:r>
    </w:p>
    <w:p w:rsidR="00A55663" w:rsidRDefault="00A55663" w:rsidP="00662377">
      <w:pPr>
        <w:autoSpaceDE w:val="0"/>
        <w:autoSpaceDN w:val="0"/>
        <w:adjustRightInd w:val="0"/>
        <w:ind w:right="279"/>
        <w:rPr>
          <w:rFonts w:cs="Arial"/>
          <w:b/>
          <w:bCs/>
          <w:color w:val="999999"/>
          <w:sz w:val="19"/>
          <w:szCs w:val="19"/>
          <w:u w:val="single"/>
        </w:rPr>
      </w:pPr>
    </w:p>
    <w:sectPr w:rsidR="00A55663" w:rsidSect="00CF6A62">
      <w:headerReference w:type="default" r:id="rId8"/>
      <w:footerReference w:type="even" r:id="rId9"/>
      <w:footerReference w:type="default" r:id="rId10"/>
      <w:pgSz w:w="11906" w:h="16838"/>
      <w:pgMar w:top="899" w:right="1466"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E7" w:rsidRDefault="009274E7" w:rsidP="00662377">
      <w:r>
        <w:separator/>
      </w:r>
    </w:p>
  </w:endnote>
  <w:endnote w:type="continuationSeparator" w:id="0">
    <w:p w:rsidR="009274E7" w:rsidRDefault="009274E7" w:rsidP="0066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MT-Bold">
    <w:panose1 w:val="00000000000000000000"/>
    <w:charset w:val="00"/>
    <w:family w:val="swiss"/>
    <w:notTrueType/>
    <w:pitch w:val="default"/>
    <w:sig w:usb0="00000003" w:usb1="00000000" w:usb2="00000000" w:usb3="00000000" w:csb0="00000001" w:csb1="00000000"/>
  </w:font>
  <w:font w:name="Swis721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E7" w:rsidRDefault="009274E7" w:rsidP="00CF6A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74E7" w:rsidRDefault="009274E7" w:rsidP="00CF6A6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E7" w:rsidRPr="0048102B" w:rsidRDefault="009274E7" w:rsidP="00CF6A62">
    <w:pPr>
      <w:pStyle w:val="Piedepgina"/>
      <w:framePr w:wrap="around" w:vAnchor="text" w:hAnchor="margin" w:xAlign="right" w:y="1"/>
      <w:rPr>
        <w:rStyle w:val="Nmerodepgina"/>
        <w:rFonts w:ascii="Arial" w:hAnsi="Arial" w:cs="Arial"/>
        <w:color w:val="808080"/>
        <w:sz w:val="20"/>
        <w:szCs w:val="20"/>
      </w:rPr>
    </w:pPr>
    <w:r w:rsidRPr="0048102B">
      <w:rPr>
        <w:rStyle w:val="Nmerodepgina"/>
        <w:rFonts w:ascii="Arial" w:hAnsi="Arial" w:cs="Arial"/>
        <w:color w:val="808080"/>
        <w:sz w:val="20"/>
        <w:szCs w:val="20"/>
      </w:rPr>
      <w:fldChar w:fldCharType="begin"/>
    </w:r>
    <w:r w:rsidRPr="0048102B">
      <w:rPr>
        <w:rStyle w:val="Nmerodepgina"/>
        <w:rFonts w:ascii="Arial" w:hAnsi="Arial" w:cs="Arial"/>
        <w:color w:val="808080"/>
        <w:sz w:val="20"/>
        <w:szCs w:val="20"/>
      </w:rPr>
      <w:instrText xml:space="preserve">PAGE  </w:instrText>
    </w:r>
    <w:r w:rsidRPr="0048102B">
      <w:rPr>
        <w:rStyle w:val="Nmerodepgina"/>
        <w:rFonts w:ascii="Arial" w:hAnsi="Arial" w:cs="Arial"/>
        <w:color w:val="808080"/>
        <w:sz w:val="20"/>
        <w:szCs w:val="20"/>
      </w:rPr>
      <w:fldChar w:fldCharType="separate"/>
    </w:r>
    <w:r w:rsidR="006C349B">
      <w:rPr>
        <w:rStyle w:val="Nmerodepgina"/>
        <w:rFonts w:ascii="Arial" w:hAnsi="Arial" w:cs="Arial"/>
        <w:noProof/>
        <w:color w:val="808080"/>
        <w:sz w:val="20"/>
        <w:szCs w:val="20"/>
      </w:rPr>
      <w:t>1</w:t>
    </w:r>
    <w:r w:rsidRPr="0048102B">
      <w:rPr>
        <w:rStyle w:val="Nmerodepgina"/>
        <w:rFonts w:ascii="Arial" w:hAnsi="Arial" w:cs="Arial"/>
        <w:color w:val="808080"/>
        <w:sz w:val="20"/>
        <w:szCs w:val="20"/>
      </w:rPr>
      <w:fldChar w:fldCharType="end"/>
    </w:r>
  </w:p>
  <w:p w:rsidR="009274E7" w:rsidRDefault="009274E7" w:rsidP="00CF6A62">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E7" w:rsidRDefault="009274E7" w:rsidP="00662377">
      <w:r>
        <w:separator/>
      </w:r>
    </w:p>
  </w:footnote>
  <w:footnote w:type="continuationSeparator" w:id="0">
    <w:p w:rsidR="009274E7" w:rsidRDefault="009274E7" w:rsidP="00662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E7" w:rsidRDefault="009274E7">
    <w:pPr>
      <w:pStyle w:val="Encabezado"/>
    </w:pPr>
    <w:r>
      <w:rPr>
        <w:noProof/>
      </w:rPr>
      <w:drawing>
        <wp:anchor distT="0" distB="0" distL="114300" distR="114300" simplePos="0" relativeHeight="251659264" behindDoc="0" locked="0" layoutInCell="1" allowOverlap="1" wp14:anchorId="651E73E4" wp14:editId="5C50ED89">
          <wp:simplePos x="0" y="0"/>
          <wp:positionH relativeFrom="column">
            <wp:posOffset>2171700</wp:posOffset>
          </wp:positionH>
          <wp:positionV relativeFrom="paragraph">
            <wp:posOffset>-335915</wp:posOffset>
          </wp:positionV>
          <wp:extent cx="1029335" cy="5149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14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140D8"/>
    <w:multiLevelType w:val="hybridMultilevel"/>
    <w:tmpl w:val="8A50A4DC"/>
    <w:lvl w:ilvl="0" w:tplc="9970067A">
      <w:start w:val="1"/>
      <w:numFmt w:val="bullet"/>
      <w:lvlText w:val=""/>
      <w:lvlJc w:val="left"/>
      <w:pPr>
        <w:tabs>
          <w:tab w:val="num" w:pos="360"/>
        </w:tabs>
        <w:ind w:left="360" w:hanging="360"/>
      </w:pPr>
      <w:rPr>
        <w:rFonts w:ascii="Wingdings" w:hAnsi="Wingdings" w:hint="default"/>
        <w:b/>
        <w:i w:val="0"/>
        <w:color w:val="C0C0C0"/>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77"/>
    <w:rsid w:val="00074F83"/>
    <w:rsid w:val="00076A79"/>
    <w:rsid w:val="000E77E5"/>
    <w:rsid w:val="001145AF"/>
    <w:rsid w:val="00170E5D"/>
    <w:rsid w:val="00212497"/>
    <w:rsid w:val="002748D3"/>
    <w:rsid w:val="002A6792"/>
    <w:rsid w:val="00310B31"/>
    <w:rsid w:val="003C61F0"/>
    <w:rsid w:val="003D32A3"/>
    <w:rsid w:val="003F199C"/>
    <w:rsid w:val="0040125C"/>
    <w:rsid w:val="004F4A4D"/>
    <w:rsid w:val="0052014F"/>
    <w:rsid w:val="00662377"/>
    <w:rsid w:val="006C349B"/>
    <w:rsid w:val="006D3697"/>
    <w:rsid w:val="00713874"/>
    <w:rsid w:val="00713C62"/>
    <w:rsid w:val="007C2CAD"/>
    <w:rsid w:val="007F3E10"/>
    <w:rsid w:val="00832785"/>
    <w:rsid w:val="00837D7C"/>
    <w:rsid w:val="008B3356"/>
    <w:rsid w:val="009274E7"/>
    <w:rsid w:val="009A0A81"/>
    <w:rsid w:val="00A55663"/>
    <w:rsid w:val="00B74AAA"/>
    <w:rsid w:val="00B74EBD"/>
    <w:rsid w:val="00B954C5"/>
    <w:rsid w:val="00C4723F"/>
    <w:rsid w:val="00C827E9"/>
    <w:rsid w:val="00CF6A62"/>
    <w:rsid w:val="00DD30D5"/>
    <w:rsid w:val="00E62856"/>
    <w:rsid w:val="00E81B27"/>
    <w:rsid w:val="00ED7A2E"/>
    <w:rsid w:val="00EE0F52"/>
    <w:rsid w:val="00F20AC7"/>
    <w:rsid w:val="00F67090"/>
    <w:rsid w:val="00FB5B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77"/>
    <w:pPr>
      <w:spacing w:after="0" w:line="240" w:lineRule="auto"/>
    </w:pPr>
    <w:rPr>
      <w:rFonts w:ascii="Verdana" w:eastAsia="Times New Roman" w:hAnsi="Verdana" w:cs="Times New Roman"/>
      <w:szCs w:val="24"/>
      <w:lang w:eastAsia="es-ES"/>
    </w:rPr>
  </w:style>
  <w:style w:type="paragraph" w:styleId="Ttulo1">
    <w:name w:val="heading 1"/>
    <w:basedOn w:val="Normal"/>
    <w:next w:val="Normal"/>
    <w:link w:val="Ttulo1Car"/>
    <w:qFormat/>
    <w:rsid w:val="00662377"/>
    <w:pPr>
      <w:keepNext/>
      <w:jc w:val="center"/>
      <w:outlineLvl w:val="0"/>
    </w:pPr>
    <w:rPr>
      <w:b/>
      <w:bCs/>
    </w:rPr>
  </w:style>
  <w:style w:type="paragraph" w:styleId="Ttulo4">
    <w:name w:val="heading 4"/>
    <w:basedOn w:val="Normal"/>
    <w:next w:val="Normal"/>
    <w:link w:val="Ttulo4Car"/>
    <w:qFormat/>
    <w:rsid w:val="00662377"/>
    <w:pPr>
      <w:keepNext/>
      <w:ind w:left="-540" w:right="99"/>
      <w:jc w:val="center"/>
      <w:outlineLvl w:val="3"/>
    </w:pPr>
    <w:rPr>
      <w:b/>
      <w:bCs/>
    </w:rPr>
  </w:style>
  <w:style w:type="paragraph" w:styleId="Ttulo9">
    <w:name w:val="heading 9"/>
    <w:basedOn w:val="Normal"/>
    <w:next w:val="Normal"/>
    <w:link w:val="Ttulo9Car"/>
    <w:qFormat/>
    <w:rsid w:val="00662377"/>
    <w:pPr>
      <w:keepNext/>
      <w:outlineLvl w:val="8"/>
    </w:pPr>
    <w:rPr>
      <w:b/>
      <w:bCs/>
      <w:color w:val="333399"/>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2377"/>
    <w:rPr>
      <w:rFonts w:ascii="Verdana" w:eastAsia="Times New Roman" w:hAnsi="Verdana" w:cs="Times New Roman"/>
      <w:b/>
      <w:bCs/>
      <w:szCs w:val="24"/>
      <w:lang w:eastAsia="es-ES"/>
    </w:rPr>
  </w:style>
  <w:style w:type="character" w:customStyle="1" w:styleId="Ttulo4Car">
    <w:name w:val="Título 4 Car"/>
    <w:basedOn w:val="Fuentedeprrafopredeter"/>
    <w:link w:val="Ttulo4"/>
    <w:rsid w:val="00662377"/>
    <w:rPr>
      <w:rFonts w:ascii="Verdana" w:eastAsia="Times New Roman" w:hAnsi="Verdana" w:cs="Times New Roman"/>
      <w:b/>
      <w:bCs/>
      <w:szCs w:val="24"/>
      <w:lang w:eastAsia="es-ES"/>
    </w:rPr>
  </w:style>
  <w:style w:type="character" w:customStyle="1" w:styleId="Ttulo9Car">
    <w:name w:val="Título 9 Car"/>
    <w:basedOn w:val="Fuentedeprrafopredeter"/>
    <w:link w:val="Ttulo9"/>
    <w:rsid w:val="00662377"/>
    <w:rPr>
      <w:rFonts w:ascii="Verdana" w:eastAsia="Times New Roman" w:hAnsi="Verdana" w:cs="Times New Roman"/>
      <w:b/>
      <w:bCs/>
      <w:color w:val="333399"/>
      <w:szCs w:val="24"/>
      <w:u w:val="single"/>
      <w:lang w:eastAsia="es-ES"/>
    </w:rPr>
  </w:style>
  <w:style w:type="paragraph" w:styleId="Sangradetextonormal">
    <w:name w:val="Body Text Indent"/>
    <w:basedOn w:val="Normal"/>
    <w:link w:val="SangradetextonormalCar"/>
    <w:rsid w:val="00662377"/>
    <w:pPr>
      <w:ind w:left="360"/>
    </w:pPr>
    <w:rPr>
      <w:b/>
      <w:bCs/>
      <w:sz w:val="20"/>
    </w:rPr>
  </w:style>
  <w:style w:type="character" w:customStyle="1" w:styleId="SangradetextonormalCar">
    <w:name w:val="Sangría de texto normal Car"/>
    <w:basedOn w:val="Fuentedeprrafopredeter"/>
    <w:link w:val="Sangradetextonormal"/>
    <w:rsid w:val="00662377"/>
    <w:rPr>
      <w:rFonts w:ascii="Verdana" w:eastAsia="Times New Roman" w:hAnsi="Verdana" w:cs="Times New Roman"/>
      <w:b/>
      <w:bCs/>
      <w:sz w:val="20"/>
      <w:szCs w:val="24"/>
      <w:lang w:eastAsia="es-ES"/>
    </w:rPr>
  </w:style>
  <w:style w:type="paragraph" w:styleId="Encabezado">
    <w:name w:val="header"/>
    <w:basedOn w:val="Normal"/>
    <w:link w:val="EncabezadoCar"/>
    <w:rsid w:val="00662377"/>
    <w:pPr>
      <w:tabs>
        <w:tab w:val="center" w:pos="4252"/>
        <w:tab w:val="right" w:pos="8504"/>
      </w:tabs>
    </w:pPr>
  </w:style>
  <w:style w:type="character" w:customStyle="1" w:styleId="EncabezadoCar">
    <w:name w:val="Encabezado Car"/>
    <w:basedOn w:val="Fuentedeprrafopredeter"/>
    <w:link w:val="Encabezado"/>
    <w:rsid w:val="00662377"/>
    <w:rPr>
      <w:rFonts w:ascii="Verdana" w:eastAsia="Times New Roman" w:hAnsi="Verdana" w:cs="Times New Roman"/>
      <w:szCs w:val="24"/>
      <w:lang w:eastAsia="es-ES"/>
    </w:rPr>
  </w:style>
  <w:style w:type="paragraph" w:styleId="Piedepgina">
    <w:name w:val="footer"/>
    <w:basedOn w:val="Normal"/>
    <w:link w:val="PiedepginaCar"/>
    <w:rsid w:val="00662377"/>
    <w:pPr>
      <w:tabs>
        <w:tab w:val="center" w:pos="4252"/>
        <w:tab w:val="right" w:pos="8504"/>
      </w:tabs>
    </w:pPr>
  </w:style>
  <w:style w:type="character" w:customStyle="1" w:styleId="PiedepginaCar">
    <w:name w:val="Pie de página Car"/>
    <w:basedOn w:val="Fuentedeprrafopredeter"/>
    <w:link w:val="Piedepgina"/>
    <w:rsid w:val="00662377"/>
    <w:rPr>
      <w:rFonts w:ascii="Verdana" w:eastAsia="Times New Roman" w:hAnsi="Verdana" w:cs="Times New Roman"/>
      <w:szCs w:val="24"/>
      <w:lang w:eastAsia="es-ES"/>
    </w:rPr>
  </w:style>
  <w:style w:type="character" w:styleId="Nmerodepgina">
    <w:name w:val="page number"/>
    <w:rsid w:val="00662377"/>
  </w:style>
  <w:style w:type="paragraph" w:styleId="Prrafodelista">
    <w:name w:val="List Paragraph"/>
    <w:basedOn w:val="Normal"/>
    <w:uiPriority w:val="34"/>
    <w:qFormat/>
    <w:rsid w:val="00662377"/>
    <w:pPr>
      <w:ind w:left="720"/>
      <w:contextualSpacing/>
    </w:pPr>
  </w:style>
  <w:style w:type="paragraph" w:styleId="Textodeglobo">
    <w:name w:val="Balloon Text"/>
    <w:basedOn w:val="Normal"/>
    <w:link w:val="TextodegloboCar"/>
    <w:uiPriority w:val="99"/>
    <w:semiHidden/>
    <w:unhideWhenUsed/>
    <w:rsid w:val="003D32A3"/>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2A3"/>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77"/>
    <w:pPr>
      <w:spacing w:after="0" w:line="240" w:lineRule="auto"/>
    </w:pPr>
    <w:rPr>
      <w:rFonts w:ascii="Verdana" w:eastAsia="Times New Roman" w:hAnsi="Verdana" w:cs="Times New Roman"/>
      <w:szCs w:val="24"/>
      <w:lang w:eastAsia="es-ES"/>
    </w:rPr>
  </w:style>
  <w:style w:type="paragraph" w:styleId="Ttulo1">
    <w:name w:val="heading 1"/>
    <w:basedOn w:val="Normal"/>
    <w:next w:val="Normal"/>
    <w:link w:val="Ttulo1Car"/>
    <w:qFormat/>
    <w:rsid w:val="00662377"/>
    <w:pPr>
      <w:keepNext/>
      <w:jc w:val="center"/>
      <w:outlineLvl w:val="0"/>
    </w:pPr>
    <w:rPr>
      <w:b/>
      <w:bCs/>
    </w:rPr>
  </w:style>
  <w:style w:type="paragraph" w:styleId="Ttulo4">
    <w:name w:val="heading 4"/>
    <w:basedOn w:val="Normal"/>
    <w:next w:val="Normal"/>
    <w:link w:val="Ttulo4Car"/>
    <w:qFormat/>
    <w:rsid w:val="00662377"/>
    <w:pPr>
      <w:keepNext/>
      <w:ind w:left="-540" w:right="99"/>
      <w:jc w:val="center"/>
      <w:outlineLvl w:val="3"/>
    </w:pPr>
    <w:rPr>
      <w:b/>
      <w:bCs/>
    </w:rPr>
  </w:style>
  <w:style w:type="paragraph" w:styleId="Ttulo9">
    <w:name w:val="heading 9"/>
    <w:basedOn w:val="Normal"/>
    <w:next w:val="Normal"/>
    <w:link w:val="Ttulo9Car"/>
    <w:qFormat/>
    <w:rsid w:val="00662377"/>
    <w:pPr>
      <w:keepNext/>
      <w:outlineLvl w:val="8"/>
    </w:pPr>
    <w:rPr>
      <w:b/>
      <w:bCs/>
      <w:color w:val="333399"/>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2377"/>
    <w:rPr>
      <w:rFonts w:ascii="Verdana" w:eastAsia="Times New Roman" w:hAnsi="Verdana" w:cs="Times New Roman"/>
      <w:b/>
      <w:bCs/>
      <w:szCs w:val="24"/>
      <w:lang w:eastAsia="es-ES"/>
    </w:rPr>
  </w:style>
  <w:style w:type="character" w:customStyle="1" w:styleId="Ttulo4Car">
    <w:name w:val="Título 4 Car"/>
    <w:basedOn w:val="Fuentedeprrafopredeter"/>
    <w:link w:val="Ttulo4"/>
    <w:rsid w:val="00662377"/>
    <w:rPr>
      <w:rFonts w:ascii="Verdana" w:eastAsia="Times New Roman" w:hAnsi="Verdana" w:cs="Times New Roman"/>
      <w:b/>
      <w:bCs/>
      <w:szCs w:val="24"/>
      <w:lang w:eastAsia="es-ES"/>
    </w:rPr>
  </w:style>
  <w:style w:type="character" w:customStyle="1" w:styleId="Ttulo9Car">
    <w:name w:val="Título 9 Car"/>
    <w:basedOn w:val="Fuentedeprrafopredeter"/>
    <w:link w:val="Ttulo9"/>
    <w:rsid w:val="00662377"/>
    <w:rPr>
      <w:rFonts w:ascii="Verdana" w:eastAsia="Times New Roman" w:hAnsi="Verdana" w:cs="Times New Roman"/>
      <w:b/>
      <w:bCs/>
      <w:color w:val="333399"/>
      <w:szCs w:val="24"/>
      <w:u w:val="single"/>
      <w:lang w:eastAsia="es-ES"/>
    </w:rPr>
  </w:style>
  <w:style w:type="paragraph" w:styleId="Sangradetextonormal">
    <w:name w:val="Body Text Indent"/>
    <w:basedOn w:val="Normal"/>
    <w:link w:val="SangradetextonormalCar"/>
    <w:rsid w:val="00662377"/>
    <w:pPr>
      <w:ind w:left="360"/>
    </w:pPr>
    <w:rPr>
      <w:b/>
      <w:bCs/>
      <w:sz w:val="20"/>
    </w:rPr>
  </w:style>
  <w:style w:type="character" w:customStyle="1" w:styleId="SangradetextonormalCar">
    <w:name w:val="Sangría de texto normal Car"/>
    <w:basedOn w:val="Fuentedeprrafopredeter"/>
    <w:link w:val="Sangradetextonormal"/>
    <w:rsid w:val="00662377"/>
    <w:rPr>
      <w:rFonts w:ascii="Verdana" w:eastAsia="Times New Roman" w:hAnsi="Verdana" w:cs="Times New Roman"/>
      <w:b/>
      <w:bCs/>
      <w:sz w:val="20"/>
      <w:szCs w:val="24"/>
      <w:lang w:eastAsia="es-ES"/>
    </w:rPr>
  </w:style>
  <w:style w:type="paragraph" w:styleId="Encabezado">
    <w:name w:val="header"/>
    <w:basedOn w:val="Normal"/>
    <w:link w:val="EncabezadoCar"/>
    <w:rsid w:val="00662377"/>
    <w:pPr>
      <w:tabs>
        <w:tab w:val="center" w:pos="4252"/>
        <w:tab w:val="right" w:pos="8504"/>
      </w:tabs>
    </w:pPr>
  </w:style>
  <w:style w:type="character" w:customStyle="1" w:styleId="EncabezadoCar">
    <w:name w:val="Encabezado Car"/>
    <w:basedOn w:val="Fuentedeprrafopredeter"/>
    <w:link w:val="Encabezado"/>
    <w:rsid w:val="00662377"/>
    <w:rPr>
      <w:rFonts w:ascii="Verdana" w:eastAsia="Times New Roman" w:hAnsi="Verdana" w:cs="Times New Roman"/>
      <w:szCs w:val="24"/>
      <w:lang w:eastAsia="es-ES"/>
    </w:rPr>
  </w:style>
  <w:style w:type="paragraph" w:styleId="Piedepgina">
    <w:name w:val="footer"/>
    <w:basedOn w:val="Normal"/>
    <w:link w:val="PiedepginaCar"/>
    <w:rsid w:val="00662377"/>
    <w:pPr>
      <w:tabs>
        <w:tab w:val="center" w:pos="4252"/>
        <w:tab w:val="right" w:pos="8504"/>
      </w:tabs>
    </w:pPr>
  </w:style>
  <w:style w:type="character" w:customStyle="1" w:styleId="PiedepginaCar">
    <w:name w:val="Pie de página Car"/>
    <w:basedOn w:val="Fuentedeprrafopredeter"/>
    <w:link w:val="Piedepgina"/>
    <w:rsid w:val="00662377"/>
    <w:rPr>
      <w:rFonts w:ascii="Verdana" w:eastAsia="Times New Roman" w:hAnsi="Verdana" w:cs="Times New Roman"/>
      <w:szCs w:val="24"/>
      <w:lang w:eastAsia="es-ES"/>
    </w:rPr>
  </w:style>
  <w:style w:type="character" w:styleId="Nmerodepgina">
    <w:name w:val="page number"/>
    <w:rsid w:val="00662377"/>
  </w:style>
  <w:style w:type="paragraph" w:styleId="Prrafodelista">
    <w:name w:val="List Paragraph"/>
    <w:basedOn w:val="Normal"/>
    <w:uiPriority w:val="34"/>
    <w:qFormat/>
    <w:rsid w:val="00662377"/>
    <w:pPr>
      <w:ind w:left="720"/>
      <w:contextualSpacing/>
    </w:pPr>
  </w:style>
  <w:style w:type="paragraph" w:styleId="Textodeglobo">
    <w:name w:val="Balloon Text"/>
    <w:basedOn w:val="Normal"/>
    <w:link w:val="TextodegloboCar"/>
    <w:uiPriority w:val="99"/>
    <w:semiHidden/>
    <w:unhideWhenUsed/>
    <w:rsid w:val="003D32A3"/>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2A3"/>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0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1238</Words>
  <Characters>6811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agett_06</dc:creator>
  <cp:keywords/>
  <dc:description/>
  <cp:lastModifiedBy>agett_06</cp:lastModifiedBy>
  <cp:revision>92</cp:revision>
  <cp:lastPrinted>2011-09-07T09:34:00Z</cp:lastPrinted>
  <dcterms:created xsi:type="dcterms:W3CDTF">2011-09-06T16:31:00Z</dcterms:created>
  <dcterms:modified xsi:type="dcterms:W3CDTF">2011-09-07T13:38:00Z</dcterms:modified>
</cp:coreProperties>
</file>